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624" w:rsidRPr="00051A30" w:rsidRDefault="00064624" w:rsidP="00051A30">
      <w:pPr>
        <w:keepNext/>
        <w:spacing w:before="240" w:after="60"/>
        <w:jc w:val="center"/>
        <w:outlineLvl w:val="3"/>
        <w:rPr>
          <w:rFonts w:asciiTheme="minorHAnsi" w:hAnsiTheme="minorHAnsi"/>
          <w:b/>
          <w:bCs/>
          <w:sz w:val="18"/>
          <w:szCs w:val="18"/>
          <w:u w:val="single"/>
        </w:rPr>
      </w:pPr>
      <w:r w:rsidRPr="00051A30">
        <w:rPr>
          <w:rFonts w:asciiTheme="minorHAnsi" w:hAnsiTheme="minorHAnsi"/>
          <w:b/>
          <w:bCs/>
          <w:sz w:val="18"/>
          <w:szCs w:val="18"/>
          <w:u w:val="single"/>
        </w:rPr>
        <w:t>SEANCE DU 09 NOVEMBRE 2015</w:t>
      </w:r>
    </w:p>
    <w:p w:rsidR="00064624" w:rsidRPr="00051A30" w:rsidRDefault="00064624" w:rsidP="00051A30">
      <w:pPr>
        <w:jc w:val="center"/>
        <w:rPr>
          <w:rFonts w:asciiTheme="minorHAnsi" w:hAnsiTheme="minorHAnsi"/>
          <w:sz w:val="18"/>
          <w:szCs w:val="18"/>
        </w:rPr>
      </w:pPr>
      <w:r w:rsidRPr="00051A30">
        <w:rPr>
          <w:rFonts w:asciiTheme="minorHAnsi" w:hAnsiTheme="minorHAnsi" w:cs="Arial"/>
          <w:b/>
          <w:bCs/>
          <w:sz w:val="18"/>
          <w:szCs w:val="18"/>
        </w:rPr>
        <w:t>DELIBERATION</w:t>
      </w:r>
    </w:p>
    <w:p w:rsidR="00064624" w:rsidRPr="00051A30" w:rsidRDefault="00064624" w:rsidP="00051A30">
      <w:pPr>
        <w:rPr>
          <w:rFonts w:asciiTheme="minorHAnsi" w:hAnsiTheme="minorHAnsi"/>
          <w:sz w:val="18"/>
          <w:szCs w:val="18"/>
        </w:rPr>
      </w:pPr>
    </w:p>
    <w:p w:rsidR="00064624" w:rsidRPr="00051A30" w:rsidRDefault="00064624" w:rsidP="00051A30">
      <w:pPr>
        <w:rPr>
          <w:rFonts w:asciiTheme="minorHAnsi" w:hAnsiTheme="minorHAnsi"/>
          <w:sz w:val="18"/>
          <w:szCs w:val="18"/>
        </w:rPr>
      </w:pPr>
      <w:r w:rsidRPr="00051A30">
        <w:rPr>
          <w:rFonts w:asciiTheme="minorHAnsi" w:hAnsiTheme="minorHAnsi"/>
          <w:sz w:val="18"/>
          <w:szCs w:val="18"/>
        </w:rPr>
        <w:t>L’an 2015, le 09 novembre  à 10H00, s’est réuni au siège du SDE07 à PRIVAS, le Comité syndical du SDE, sous la présidence de Monsieur Jacques GENEST.</w:t>
      </w:r>
    </w:p>
    <w:p w:rsidR="00064624" w:rsidRPr="00051A30" w:rsidRDefault="00064624" w:rsidP="00051A30">
      <w:pPr>
        <w:rPr>
          <w:rFonts w:asciiTheme="minorHAnsi" w:hAnsiTheme="minorHAnsi"/>
          <w:sz w:val="18"/>
          <w:szCs w:val="18"/>
        </w:rPr>
      </w:pPr>
    </w:p>
    <w:p w:rsidR="00064624" w:rsidRPr="00051A30" w:rsidRDefault="00064624" w:rsidP="00051A30">
      <w:pPr>
        <w:rPr>
          <w:rFonts w:asciiTheme="minorHAnsi" w:hAnsiTheme="minorHAnsi"/>
          <w:sz w:val="18"/>
          <w:szCs w:val="18"/>
        </w:rPr>
      </w:pPr>
      <w:r w:rsidRPr="00051A30">
        <w:rPr>
          <w:rFonts w:asciiTheme="minorHAnsi" w:hAnsiTheme="minorHAnsi"/>
          <w:sz w:val="18"/>
          <w:szCs w:val="18"/>
        </w:rPr>
        <w:t xml:space="preserve">Membres convoqués : </w:t>
      </w:r>
    </w:p>
    <w:p w:rsidR="00064624" w:rsidRPr="00051A30" w:rsidRDefault="00064624" w:rsidP="00051A30">
      <w:pPr>
        <w:rPr>
          <w:rFonts w:asciiTheme="minorHAnsi" w:hAnsiTheme="minorHAnsi"/>
          <w:sz w:val="18"/>
          <w:szCs w:val="18"/>
        </w:rPr>
      </w:pPr>
      <w:r w:rsidRPr="00051A30">
        <w:rPr>
          <w:rFonts w:asciiTheme="minorHAnsi" w:hAnsiTheme="minorHAnsi"/>
          <w:sz w:val="18"/>
          <w:szCs w:val="18"/>
        </w:rPr>
        <w:t xml:space="preserve">Membres présents : </w:t>
      </w:r>
    </w:p>
    <w:p w:rsidR="00064624" w:rsidRPr="00051A30" w:rsidRDefault="00064624" w:rsidP="00051A30">
      <w:pPr>
        <w:rPr>
          <w:rFonts w:asciiTheme="minorHAnsi" w:hAnsiTheme="minorHAnsi"/>
          <w:sz w:val="18"/>
          <w:szCs w:val="18"/>
        </w:rPr>
      </w:pPr>
      <w:r w:rsidRPr="00051A30">
        <w:rPr>
          <w:rFonts w:asciiTheme="minorHAnsi" w:hAnsiTheme="minorHAnsi"/>
          <w:sz w:val="18"/>
          <w:szCs w:val="18"/>
        </w:rPr>
        <w:t xml:space="preserve">Membres excusés : </w:t>
      </w:r>
    </w:p>
    <w:p w:rsidR="00064624" w:rsidRPr="00051A30" w:rsidRDefault="00064624" w:rsidP="00051A30">
      <w:pPr>
        <w:rPr>
          <w:rFonts w:asciiTheme="minorHAnsi" w:hAnsiTheme="minorHAnsi"/>
          <w:sz w:val="18"/>
          <w:szCs w:val="18"/>
        </w:rPr>
      </w:pPr>
      <w:r w:rsidRPr="00051A30">
        <w:rPr>
          <w:rFonts w:asciiTheme="minorHAnsi" w:hAnsiTheme="minorHAnsi"/>
          <w:sz w:val="18"/>
          <w:szCs w:val="18"/>
        </w:rPr>
        <w:t xml:space="preserve">Procurations : </w:t>
      </w:r>
    </w:p>
    <w:p w:rsidR="00064624" w:rsidRPr="00051A30" w:rsidRDefault="00064624" w:rsidP="00051A30">
      <w:pPr>
        <w:rPr>
          <w:rFonts w:asciiTheme="minorHAnsi" w:hAnsiTheme="minorHAnsi"/>
          <w:sz w:val="18"/>
          <w:szCs w:val="18"/>
        </w:rPr>
      </w:pPr>
    </w:p>
    <w:p w:rsidR="00064624" w:rsidRPr="00051A30" w:rsidRDefault="00064624" w:rsidP="00051A30">
      <w:pPr>
        <w:rPr>
          <w:rFonts w:asciiTheme="minorHAnsi" w:hAnsiTheme="minorHAnsi"/>
          <w:b/>
          <w:sz w:val="18"/>
          <w:szCs w:val="18"/>
        </w:rPr>
      </w:pPr>
      <w:r w:rsidRPr="00051A30">
        <w:rPr>
          <w:rFonts w:asciiTheme="minorHAnsi" w:hAnsiTheme="minorHAnsi"/>
          <w:b/>
          <w:sz w:val="18"/>
          <w:szCs w:val="18"/>
          <w:u w:val="single"/>
        </w:rPr>
        <w:t>OBJET</w:t>
      </w:r>
      <w:r w:rsidRPr="00051A30">
        <w:rPr>
          <w:rFonts w:asciiTheme="minorHAnsi" w:hAnsiTheme="minorHAnsi"/>
          <w:b/>
          <w:sz w:val="18"/>
          <w:szCs w:val="18"/>
        </w:rPr>
        <w:t xml:space="preserve"> : </w:t>
      </w:r>
    </w:p>
    <w:p w:rsidR="00064624" w:rsidRPr="00051A30" w:rsidRDefault="00064624" w:rsidP="00051A30">
      <w:pPr>
        <w:pStyle w:val="Titre1"/>
        <w:pBdr>
          <w:top w:val="single" w:sz="4" w:space="1" w:color="auto"/>
          <w:bottom w:val="single" w:sz="4" w:space="1" w:color="auto"/>
        </w:pBdr>
        <w:jc w:val="both"/>
        <w:rPr>
          <w:rFonts w:asciiTheme="minorHAnsi" w:hAnsiTheme="minorHAnsi" w:cs="Tahoma"/>
          <w:sz w:val="18"/>
          <w:szCs w:val="18"/>
        </w:rPr>
      </w:pPr>
      <w:r w:rsidRPr="00051A30">
        <w:rPr>
          <w:rFonts w:asciiTheme="minorHAnsi" w:hAnsiTheme="minorHAnsi" w:cs="Tahoma"/>
          <w:sz w:val="18"/>
          <w:szCs w:val="18"/>
        </w:rPr>
        <w:t>COMPTE RENDU D’ACTIVITE DES CONCESSIONNAIRES ERDF ET EDF POUR L’ANNEE 2014</w:t>
      </w:r>
    </w:p>
    <w:p w:rsidR="00064624" w:rsidRPr="00051A30" w:rsidRDefault="00064624" w:rsidP="00051A30">
      <w:pPr>
        <w:spacing w:before="240" w:after="120" w:line="240" w:lineRule="atLeast"/>
        <w:jc w:val="both"/>
        <w:rPr>
          <w:rFonts w:asciiTheme="minorHAnsi" w:hAnsiTheme="minorHAnsi"/>
          <w:sz w:val="18"/>
          <w:szCs w:val="18"/>
        </w:rPr>
      </w:pPr>
      <w:r w:rsidRPr="00051A30">
        <w:rPr>
          <w:rFonts w:asciiTheme="minorHAnsi" w:hAnsiTheme="minorHAnsi"/>
          <w:sz w:val="18"/>
          <w:szCs w:val="18"/>
        </w:rPr>
        <w:t xml:space="preserve">Le Président  informe l’assemblée qu’ERDF et EDF ont présenté leur compte rendu annuel des concessionnaires 2014 à l’occasion d’une rencontre le 07 septembre dernier. </w:t>
      </w:r>
    </w:p>
    <w:p w:rsidR="00064624" w:rsidRPr="00051A30" w:rsidRDefault="00064624" w:rsidP="00051A30">
      <w:pPr>
        <w:spacing w:before="240" w:after="120" w:line="240" w:lineRule="atLeast"/>
        <w:jc w:val="both"/>
        <w:rPr>
          <w:rFonts w:asciiTheme="minorHAnsi" w:hAnsiTheme="minorHAnsi"/>
          <w:sz w:val="18"/>
          <w:szCs w:val="18"/>
          <w:u w:val="single"/>
        </w:rPr>
      </w:pPr>
      <w:r w:rsidRPr="00051A30">
        <w:rPr>
          <w:rFonts w:asciiTheme="minorHAnsi" w:hAnsiTheme="minorHAnsi"/>
          <w:sz w:val="18"/>
          <w:szCs w:val="18"/>
          <w:u w:val="single"/>
        </w:rPr>
        <w:t>Le compte rendu d’activité 2014 d’ERDF et EDF détaille :</w:t>
      </w:r>
    </w:p>
    <w:p w:rsidR="00064624" w:rsidRPr="00051A30" w:rsidRDefault="00064624" w:rsidP="00051A30">
      <w:pPr>
        <w:numPr>
          <w:ilvl w:val="0"/>
          <w:numId w:val="1"/>
        </w:numPr>
        <w:spacing w:before="120" w:after="120" w:line="240" w:lineRule="atLeast"/>
        <w:ind w:left="0" w:firstLine="0"/>
        <w:jc w:val="both"/>
        <w:rPr>
          <w:rFonts w:asciiTheme="minorHAnsi" w:hAnsiTheme="minorHAnsi"/>
          <w:sz w:val="18"/>
          <w:szCs w:val="18"/>
        </w:rPr>
      </w:pPr>
      <w:r w:rsidRPr="00051A30">
        <w:rPr>
          <w:rFonts w:asciiTheme="minorHAnsi" w:hAnsiTheme="minorHAnsi"/>
          <w:sz w:val="18"/>
          <w:szCs w:val="18"/>
        </w:rPr>
        <w:t>Une synthèse de l’activité d’ERDF sur le territoire concédé (le développement et l’exploitation des réseaux de distribution publique, la proximité avec les clients, l’ancrage territorial et les actions au service de l’environnement, les éléments financiers de la concession).</w:t>
      </w:r>
    </w:p>
    <w:p w:rsidR="00064624" w:rsidRPr="00051A30" w:rsidRDefault="00064624" w:rsidP="00051A30">
      <w:pPr>
        <w:numPr>
          <w:ilvl w:val="0"/>
          <w:numId w:val="1"/>
        </w:numPr>
        <w:spacing w:before="120" w:after="120" w:line="240" w:lineRule="atLeast"/>
        <w:ind w:left="0" w:firstLine="0"/>
        <w:jc w:val="both"/>
        <w:rPr>
          <w:rFonts w:asciiTheme="minorHAnsi" w:hAnsiTheme="minorHAnsi"/>
          <w:sz w:val="18"/>
          <w:szCs w:val="18"/>
        </w:rPr>
      </w:pPr>
      <w:r w:rsidRPr="00051A30">
        <w:rPr>
          <w:rFonts w:asciiTheme="minorHAnsi" w:hAnsiTheme="minorHAnsi"/>
          <w:sz w:val="18"/>
          <w:szCs w:val="18"/>
        </w:rPr>
        <w:t>Une synthèse de l’activité d’EDF pour la fourniture d’électricité aux tarifs réglementés de vente sur le territoire concédé (les évolutions législatives et réglementaires, les clients aux tarifs réglementés de vente, la relation clientèle, la solidarité).</w:t>
      </w:r>
    </w:p>
    <w:p w:rsidR="00064624" w:rsidRPr="00051A30" w:rsidRDefault="00064624" w:rsidP="00051A30">
      <w:pPr>
        <w:numPr>
          <w:ilvl w:val="0"/>
          <w:numId w:val="1"/>
        </w:numPr>
        <w:spacing w:before="120" w:after="120" w:line="240" w:lineRule="atLeast"/>
        <w:ind w:left="0" w:firstLine="0"/>
        <w:jc w:val="both"/>
        <w:rPr>
          <w:rFonts w:asciiTheme="minorHAnsi" w:hAnsiTheme="minorHAnsi"/>
          <w:sz w:val="18"/>
          <w:szCs w:val="18"/>
          <w:u w:val="single"/>
        </w:rPr>
      </w:pPr>
      <w:r w:rsidRPr="00051A30">
        <w:rPr>
          <w:rFonts w:asciiTheme="minorHAnsi" w:hAnsiTheme="minorHAnsi"/>
          <w:sz w:val="18"/>
          <w:szCs w:val="18"/>
        </w:rPr>
        <w:t>Les indicateurs de suivi de l’activité des concessionnaires (le réseau et la qualité de desserte, les clients, les produits et les charges d’exploitation liés à l’activité d’ERDF, les données patrimoniales, les flux financiers de la concession).</w:t>
      </w:r>
    </w:p>
    <w:p w:rsidR="00064624" w:rsidRPr="00051A30" w:rsidRDefault="00064624" w:rsidP="00051A30">
      <w:pPr>
        <w:spacing w:before="240" w:after="120" w:line="240" w:lineRule="atLeast"/>
        <w:jc w:val="both"/>
        <w:rPr>
          <w:rFonts w:asciiTheme="minorHAnsi" w:hAnsiTheme="minorHAnsi"/>
          <w:sz w:val="18"/>
          <w:szCs w:val="18"/>
          <w:u w:val="single"/>
        </w:rPr>
      </w:pPr>
      <w:r w:rsidRPr="00051A30">
        <w:rPr>
          <w:rFonts w:asciiTheme="minorHAnsi" w:hAnsiTheme="minorHAnsi"/>
          <w:sz w:val="18"/>
          <w:szCs w:val="18"/>
          <w:u w:val="single"/>
        </w:rPr>
        <w:t>Les élus présents ont constaté des améliorations par rapport aux exercices précédents :</w:t>
      </w:r>
    </w:p>
    <w:p w:rsidR="00064624" w:rsidRPr="00051A30" w:rsidRDefault="00064624" w:rsidP="00051A30">
      <w:pPr>
        <w:pStyle w:val="Paragraphedeliste"/>
        <w:numPr>
          <w:ilvl w:val="0"/>
          <w:numId w:val="4"/>
        </w:numPr>
        <w:spacing w:before="120" w:after="120" w:line="240" w:lineRule="atLeast"/>
        <w:ind w:left="11" w:hanging="11"/>
        <w:jc w:val="both"/>
        <w:rPr>
          <w:rFonts w:asciiTheme="minorHAnsi" w:hAnsiTheme="minorHAnsi"/>
          <w:sz w:val="18"/>
          <w:szCs w:val="18"/>
        </w:rPr>
      </w:pPr>
      <w:r w:rsidRPr="00051A30">
        <w:rPr>
          <w:rFonts w:asciiTheme="minorHAnsi" w:hAnsiTheme="minorHAnsi"/>
          <w:sz w:val="18"/>
          <w:szCs w:val="18"/>
        </w:rPr>
        <w:t xml:space="preserve">Données et explications relatives aux investissements plus étoffées. </w:t>
      </w:r>
    </w:p>
    <w:p w:rsidR="00064624" w:rsidRPr="00051A30" w:rsidRDefault="00064624" w:rsidP="00051A30">
      <w:pPr>
        <w:pStyle w:val="Paragraphedeliste"/>
        <w:numPr>
          <w:ilvl w:val="0"/>
          <w:numId w:val="4"/>
        </w:numPr>
        <w:spacing w:before="120" w:after="120" w:line="240" w:lineRule="atLeast"/>
        <w:ind w:left="11" w:hanging="11"/>
        <w:jc w:val="both"/>
        <w:rPr>
          <w:rFonts w:asciiTheme="minorHAnsi" w:hAnsiTheme="minorHAnsi"/>
          <w:sz w:val="18"/>
          <w:szCs w:val="18"/>
        </w:rPr>
      </w:pPr>
      <w:r w:rsidRPr="00051A30">
        <w:rPr>
          <w:rFonts w:asciiTheme="minorHAnsi" w:hAnsiTheme="minorHAnsi"/>
          <w:sz w:val="18"/>
          <w:szCs w:val="18"/>
        </w:rPr>
        <w:t>Evolution dans les commentaires apportés au compte d’exploitation ERDF, plus proches de la concession.</w:t>
      </w:r>
    </w:p>
    <w:p w:rsidR="00064624" w:rsidRPr="00051A30" w:rsidRDefault="002133C3" w:rsidP="00051A30">
      <w:pPr>
        <w:pStyle w:val="Paragraphedeliste"/>
        <w:numPr>
          <w:ilvl w:val="0"/>
          <w:numId w:val="4"/>
        </w:numPr>
        <w:spacing w:before="120" w:after="120" w:line="240" w:lineRule="atLeast"/>
        <w:ind w:left="11" w:hanging="11"/>
        <w:jc w:val="both"/>
        <w:rPr>
          <w:rFonts w:asciiTheme="minorHAnsi" w:hAnsiTheme="minorHAnsi"/>
          <w:sz w:val="18"/>
          <w:szCs w:val="18"/>
        </w:rPr>
      </w:pPr>
      <w:r w:rsidRPr="00051A30">
        <w:rPr>
          <w:rFonts w:asciiTheme="minorHAnsi" w:hAnsiTheme="minorHAnsi"/>
          <w:sz w:val="18"/>
          <w:szCs w:val="18"/>
        </w:rPr>
        <w:t>Des données réclamations à la maille de la concession</w:t>
      </w:r>
    </w:p>
    <w:p w:rsidR="002133C3" w:rsidRPr="00051A30" w:rsidRDefault="002133C3" w:rsidP="00051A30">
      <w:pPr>
        <w:pStyle w:val="Paragraphedeliste"/>
        <w:numPr>
          <w:ilvl w:val="0"/>
          <w:numId w:val="4"/>
        </w:numPr>
        <w:spacing w:before="120" w:after="120" w:line="240" w:lineRule="atLeast"/>
        <w:ind w:left="11" w:hanging="11"/>
        <w:jc w:val="both"/>
        <w:rPr>
          <w:rFonts w:asciiTheme="minorHAnsi" w:hAnsiTheme="minorHAnsi"/>
          <w:sz w:val="18"/>
          <w:szCs w:val="18"/>
          <w:u w:val="single"/>
        </w:rPr>
      </w:pPr>
      <w:r w:rsidRPr="00051A30">
        <w:rPr>
          <w:rFonts w:asciiTheme="minorHAnsi" w:hAnsiTheme="minorHAnsi"/>
          <w:sz w:val="18"/>
          <w:szCs w:val="18"/>
        </w:rPr>
        <w:t>Plus de données patrimoniales et financières à la maille de la concession par la présentation d’</w:t>
      </w:r>
      <w:r w:rsidR="003A51FA" w:rsidRPr="00051A30">
        <w:rPr>
          <w:rFonts w:asciiTheme="minorHAnsi" w:hAnsiTheme="minorHAnsi"/>
          <w:sz w:val="18"/>
          <w:szCs w:val="18"/>
        </w:rPr>
        <w:t>un</w:t>
      </w:r>
      <w:r w:rsidRPr="00051A30">
        <w:rPr>
          <w:rFonts w:asciiTheme="minorHAnsi" w:hAnsiTheme="minorHAnsi"/>
          <w:sz w:val="18"/>
          <w:szCs w:val="18"/>
        </w:rPr>
        <w:t xml:space="preserve"> nouveau tableau synthèse des répartitions</w:t>
      </w:r>
    </w:p>
    <w:p w:rsidR="002133C3" w:rsidRPr="00051A30" w:rsidRDefault="002133C3" w:rsidP="00051A30">
      <w:pPr>
        <w:spacing w:before="120" w:after="120" w:line="240" w:lineRule="atLeast"/>
        <w:jc w:val="both"/>
        <w:rPr>
          <w:rFonts w:asciiTheme="minorHAnsi" w:hAnsiTheme="minorHAnsi"/>
          <w:sz w:val="18"/>
          <w:szCs w:val="18"/>
        </w:rPr>
      </w:pPr>
      <w:r w:rsidRPr="00051A30">
        <w:rPr>
          <w:rFonts w:asciiTheme="minorHAnsi" w:hAnsiTheme="minorHAnsi"/>
          <w:sz w:val="18"/>
          <w:szCs w:val="18"/>
        </w:rPr>
        <w:t xml:space="preserve">Cependant, </w:t>
      </w:r>
    </w:p>
    <w:p w:rsidR="003A51FA" w:rsidRPr="00051A30" w:rsidRDefault="003A51FA" w:rsidP="00051A30">
      <w:pPr>
        <w:pStyle w:val="Paragraphedeliste"/>
        <w:numPr>
          <w:ilvl w:val="0"/>
          <w:numId w:val="3"/>
        </w:numPr>
        <w:spacing w:before="120" w:after="120" w:line="240" w:lineRule="atLeast"/>
        <w:ind w:left="0" w:firstLine="0"/>
        <w:jc w:val="both"/>
        <w:rPr>
          <w:rFonts w:asciiTheme="minorHAnsi" w:hAnsiTheme="minorHAnsi"/>
          <w:sz w:val="18"/>
          <w:szCs w:val="18"/>
          <w:u w:val="single"/>
        </w:rPr>
      </w:pPr>
      <w:r w:rsidRPr="00051A30">
        <w:rPr>
          <w:rFonts w:asciiTheme="minorHAnsi" w:hAnsiTheme="minorHAnsi"/>
          <w:sz w:val="18"/>
          <w:szCs w:val="18"/>
        </w:rPr>
        <w:t>L’autorité concédante doit donc rester vigilante face au risque d’obsolescence de son patrimoine HTA dans le futur. Pour l’instant, les taux d’incident des réseaux HTA de la concession ne présentent cependant pas de décrochage par rapport aux valeurs constatées par ailleurs.</w:t>
      </w:r>
    </w:p>
    <w:p w:rsidR="003A51FA" w:rsidRPr="00051A30" w:rsidRDefault="003A51FA" w:rsidP="00051A30">
      <w:pPr>
        <w:pStyle w:val="Paragraphedeliste"/>
        <w:numPr>
          <w:ilvl w:val="0"/>
          <w:numId w:val="3"/>
        </w:numPr>
        <w:ind w:left="0" w:firstLine="0"/>
        <w:rPr>
          <w:rFonts w:asciiTheme="minorHAnsi" w:hAnsiTheme="minorHAnsi"/>
          <w:sz w:val="18"/>
          <w:szCs w:val="18"/>
        </w:rPr>
      </w:pPr>
      <w:r w:rsidRPr="00051A30">
        <w:rPr>
          <w:rFonts w:asciiTheme="minorHAnsi" w:hAnsiTheme="minorHAnsi"/>
          <w:sz w:val="18"/>
          <w:szCs w:val="18"/>
        </w:rPr>
        <w:t xml:space="preserve">la fragilité du réseau HTA de la concession face aux aléas climatiques importants. </w:t>
      </w:r>
    </w:p>
    <w:p w:rsidR="003A51FA" w:rsidRPr="00051A30" w:rsidRDefault="003A51FA" w:rsidP="00051A30">
      <w:pPr>
        <w:pStyle w:val="Paragraphedeliste"/>
        <w:numPr>
          <w:ilvl w:val="0"/>
          <w:numId w:val="3"/>
        </w:numPr>
        <w:spacing w:before="120" w:after="120" w:line="240" w:lineRule="atLeast"/>
        <w:ind w:left="0" w:firstLine="0"/>
        <w:jc w:val="both"/>
        <w:rPr>
          <w:rFonts w:asciiTheme="minorHAnsi" w:hAnsiTheme="minorHAnsi"/>
          <w:sz w:val="18"/>
          <w:szCs w:val="18"/>
          <w:u w:val="single"/>
        </w:rPr>
      </w:pPr>
      <w:r w:rsidRPr="00051A30">
        <w:rPr>
          <w:rFonts w:asciiTheme="minorHAnsi" w:hAnsiTheme="minorHAnsi"/>
          <w:sz w:val="18"/>
          <w:szCs w:val="18"/>
        </w:rPr>
        <w:t>Le concessionnaire n’a pas transmis un inventaire des ouvrages précisant ouvrage par ouvrage la décomposition du financement entre son financement propre et le financement externe</w:t>
      </w:r>
    </w:p>
    <w:p w:rsidR="003A51FA" w:rsidRPr="00051A30" w:rsidRDefault="003A51FA" w:rsidP="00051A30">
      <w:pPr>
        <w:pStyle w:val="Paragraphedeliste"/>
        <w:numPr>
          <w:ilvl w:val="0"/>
          <w:numId w:val="3"/>
        </w:numPr>
        <w:spacing w:before="120" w:after="120" w:line="240" w:lineRule="atLeast"/>
        <w:ind w:left="0" w:firstLine="0"/>
        <w:jc w:val="both"/>
        <w:rPr>
          <w:rFonts w:asciiTheme="minorHAnsi" w:hAnsiTheme="minorHAnsi"/>
          <w:sz w:val="18"/>
          <w:szCs w:val="18"/>
          <w:u w:val="single"/>
        </w:rPr>
      </w:pPr>
      <w:r w:rsidRPr="00051A30">
        <w:rPr>
          <w:rFonts w:asciiTheme="minorHAnsi" w:hAnsiTheme="minorHAnsi"/>
          <w:sz w:val="18"/>
          <w:szCs w:val="18"/>
        </w:rPr>
        <w:t>La baisse du stock des provisions pour renouvellement a pour principale conséquence d’alourdir la dette de la Collectivité envers le concessionnaire</w:t>
      </w:r>
    </w:p>
    <w:p w:rsidR="00064624" w:rsidRPr="00051A30" w:rsidRDefault="003A51FA" w:rsidP="00051A30">
      <w:pPr>
        <w:numPr>
          <w:ilvl w:val="0"/>
          <w:numId w:val="1"/>
        </w:numPr>
        <w:spacing w:before="120" w:after="120" w:line="240" w:lineRule="atLeast"/>
        <w:ind w:left="0" w:firstLine="0"/>
        <w:jc w:val="both"/>
        <w:rPr>
          <w:rFonts w:asciiTheme="minorHAnsi" w:hAnsiTheme="minorHAnsi"/>
          <w:sz w:val="18"/>
          <w:szCs w:val="18"/>
        </w:rPr>
      </w:pPr>
      <w:r w:rsidRPr="00051A30">
        <w:rPr>
          <w:rFonts w:asciiTheme="minorHAnsi" w:hAnsiTheme="minorHAnsi"/>
          <w:sz w:val="18"/>
          <w:szCs w:val="18"/>
        </w:rPr>
        <w:t>L</w:t>
      </w:r>
      <w:r w:rsidR="00064624" w:rsidRPr="00051A30">
        <w:rPr>
          <w:rFonts w:asciiTheme="minorHAnsi" w:hAnsiTheme="minorHAnsi"/>
          <w:sz w:val="18"/>
          <w:szCs w:val="18"/>
        </w:rPr>
        <w:t>a sous-valorisation dans la comptabilité d’ERDF des ouvrages financés par le SDE07, qui affecte le droit du concédant en défaveur du syndicat ;</w:t>
      </w:r>
    </w:p>
    <w:p w:rsidR="00064624" w:rsidRPr="00051A30" w:rsidRDefault="00064624" w:rsidP="00051A30">
      <w:pPr>
        <w:spacing w:before="120" w:after="120" w:line="240" w:lineRule="atLeast"/>
        <w:jc w:val="both"/>
        <w:rPr>
          <w:rFonts w:asciiTheme="minorHAnsi" w:hAnsiTheme="minorHAnsi"/>
          <w:sz w:val="18"/>
          <w:szCs w:val="18"/>
          <w:u w:val="single"/>
        </w:rPr>
      </w:pPr>
    </w:p>
    <w:p w:rsidR="00064624" w:rsidRPr="00051A30" w:rsidRDefault="00064624" w:rsidP="00051A30">
      <w:pPr>
        <w:spacing w:before="120" w:after="120" w:line="240" w:lineRule="atLeast"/>
        <w:jc w:val="both"/>
        <w:rPr>
          <w:rFonts w:asciiTheme="minorHAnsi" w:hAnsiTheme="minorHAnsi"/>
          <w:sz w:val="18"/>
          <w:szCs w:val="18"/>
        </w:rPr>
      </w:pPr>
      <w:r w:rsidRPr="00051A30">
        <w:rPr>
          <w:rFonts w:asciiTheme="minorHAnsi" w:hAnsiTheme="minorHAnsi"/>
          <w:sz w:val="18"/>
          <w:szCs w:val="18"/>
        </w:rPr>
        <w:t>Aussi, il est proposé de prendre acte de la communication du compte rendu d’activité 201</w:t>
      </w:r>
      <w:r w:rsidR="003A51FA" w:rsidRPr="00051A30">
        <w:rPr>
          <w:rFonts w:asciiTheme="minorHAnsi" w:hAnsiTheme="minorHAnsi"/>
          <w:sz w:val="18"/>
          <w:szCs w:val="18"/>
        </w:rPr>
        <w:t>4</w:t>
      </w:r>
      <w:r w:rsidRPr="00051A30">
        <w:rPr>
          <w:rFonts w:asciiTheme="minorHAnsi" w:hAnsiTheme="minorHAnsi"/>
          <w:sz w:val="18"/>
          <w:szCs w:val="18"/>
        </w:rPr>
        <w:t xml:space="preserve"> d’ERDF et EDF.</w:t>
      </w:r>
    </w:p>
    <w:p w:rsidR="00064624" w:rsidRPr="00051A30" w:rsidRDefault="00064624" w:rsidP="00051A30">
      <w:pPr>
        <w:spacing w:after="120" w:line="240" w:lineRule="atLeast"/>
        <w:jc w:val="both"/>
        <w:rPr>
          <w:rFonts w:asciiTheme="minorHAnsi" w:hAnsiTheme="minorHAnsi"/>
          <w:sz w:val="18"/>
          <w:szCs w:val="18"/>
        </w:rPr>
      </w:pPr>
    </w:p>
    <w:p w:rsidR="00064624" w:rsidRPr="00051A30" w:rsidRDefault="00064624" w:rsidP="00051A30">
      <w:pPr>
        <w:spacing w:after="120" w:line="240" w:lineRule="atLeast"/>
        <w:jc w:val="both"/>
        <w:rPr>
          <w:rFonts w:asciiTheme="minorHAnsi" w:hAnsiTheme="minorHAnsi"/>
          <w:b/>
          <w:color w:val="FF0000"/>
          <w:sz w:val="18"/>
          <w:szCs w:val="18"/>
        </w:rPr>
      </w:pPr>
      <w:r w:rsidRPr="00051A30">
        <w:rPr>
          <w:rFonts w:asciiTheme="minorHAnsi" w:hAnsiTheme="minorHAnsi"/>
          <w:b/>
          <w:sz w:val="18"/>
          <w:szCs w:val="18"/>
        </w:rPr>
        <w:t>Après en avoir délibéré, les membres du Comité Syndical décident à l’unanimité</w:t>
      </w:r>
      <w:r w:rsidRPr="00051A30">
        <w:rPr>
          <w:rFonts w:asciiTheme="minorHAnsi" w:hAnsiTheme="minorHAnsi"/>
          <w:b/>
          <w:color w:val="FF0000"/>
          <w:sz w:val="18"/>
          <w:szCs w:val="18"/>
        </w:rPr>
        <w:t xml:space="preserve"> </w:t>
      </w:r>
    </w:p>
    <w:p w:rsidR="00064624" w:rsidRPr="00051A30" w:rsidRDefault="00064624" w:rsidP="00051A30">
      <w:pPr>
        <w:numPr>
          <w:ilvl w:val="0"/>
          <w:numId w:val="1"/>
        </w:numPr>
        <w:spacing w:before="120" w:after="120" w:line="240" w:lineRule="atLeast"/>
        <w:ind w:left="0" w:firstLine="0"/>
        <w:jc w:val="both"/>
        <w:rPr>
          <w:rFonts w:asciiTheme="minorHAnsi" w:hAnsiTheme="minorHAnsi"/>
          <w:sz w:val="18"/>
          <w:szCs w:val="18"/>
        </w:rPr>
      </w:pPr>
      <w:r w:rsidRPr="00051A30">
        <w:rPr>
          <w:rFonts w:asciiTheme="minorHAnsi" w:hAnsiTheme="minorHAnsi"/>
          <w:sz w:val="18"/>
          <w:szCs w:val="18"/>
        </w:rPr>
        <w:t>de prendre acte du  CRAC électricité 201</w:t>
      </w:r>
      <w:r w:rsidR="003A51FA" w:rsidRPr="00051A30">
        <w:rPr>
          <w:rFonts w:asciiTheme="minorHAnsi" w:hAnsiTheme="minorHAnsi"/>
          <w:sz w:val="18"/>
          <w:szCs w:val="18"/>
        </w:rPr>
        <w:t>4</w:t>
      </w:r>
      <w:r w:rsidRPr="00051A30">
        <w:rPr>
          <w:rFonts w:asciiTheme="minorHAnsi" w:hAnsiTheme="minorHAnsi"/>
          <w:sz w:val="18"/>
          <w:szCs w:val="18"/>
        </w:rPr>
        <w:t>,</w:t>
      </w:r>
    </w:p>
    <w:p w:rsidR="00064624" w:rsidRPr="00051A30" w:rsidRDefault="00064624" w:rsidP="00051A30">
      <w:pPr>
        <w:spacing w:before="120"/>
        <w:ind w:right="98"/>
        <w:jc w:val="center"/>
        <w:rPr>
          <w:rFonts w:asciiTheme="minorHAnsi" w:hAnsiTheme="minorHAnsi"/>
          <w:b/>
          <w:bCs/>
          <w:sz w:val="18"/>
          <w:szCs w:val="18"/>
        </w:rPr>
      </w:pPr>
      <w:r w:rsidRPr="00051A30">
        <w:rPr>
          <w:rFonts w:asciiTheme="minorHAnsi" w:hAnsiTheme="minorHAnsi"/>
          <w:b/>
          <w:bCs/>
          <w:sz w:val="18"/>
          <w:szCs w:val="18"/>
        </w:rPr>
        <w:t>Extrait certifié conforme,</w:t>
      </w:r>
    </w:p>
    <w:p w:rsidR="00064624" w:rsidRPr="00051A30" w:rsidRDefault="00064624" w:rsidP="00051A30">
      <w:pPr>
        <w:spacing w:before="120"/>
        <w:ind w:right="98"/>
        <w:jc w:val="center"/>
        <w:rPr>
          <w:rFonts w:asciiTheme="minorHAnsi" w:hAnsiTheme="minorHAnsi"/>
          <w:b/>
          <w:bCs/>
          <w:sz w:val="18"/>
          <w:szCs w:val="18"/>
        </w:rPr>
      </w:pPr>
      <w:r w:rsidRPr="00051A30">
        <w:rPr>
          <w:rFonts w:asciiTheme="minorHAnsi" w:hAnsiTheme="minorHAnsi"/>
          <w:b/>
          <w:bCs/>
          <w:sz w:val="18"/>
          <w:szCs w:val="18"/>
        </w:rPr>
        <w:t xml:space="preserve">Le </w:t>
      </w:r>
      <w:r w:rsidR="00051A30">
        <w:rPr>
          <w:rFonts w:asciiTheme="minorHAnsi" w:hAnsiTheme="minorHAnsi"/>
          <w:b/>
          <w:bCs/>
          <w:sz w:val="18"/>
          <w:szCs w:val="18"/>
        </w:rPr>
        <w:t>p</w:t>
      </w:r>
      <w:r w:rsidRPr="00051A30">
        <w:rPr>
          <w:rFonts w:asciiTheme="minorHAnsi" w:hAnsiTheme="minorHAnsi"/>
          <w:b/>
          <w:bCs/>
          <w:sz w:val="18"/>
          <w:szCs w:val="18"/>
        </w:rPr>
        <w:t>résident</w:t>
      </w:r>
    </w:p>
    <w:p w:rsidR="00051A30" w:rsidRDefault="00064624" w:rsidP="00051A30">
      <w:pPr>
        <w:jc w:val="both"/>
        <w:rPr>
          <w:rFonts w:asciiTheme="minorHAnsi" w:hAnsiTheme="minorHAnsi"/>
          <w:b/>
          <w:bCs/>
          <w:sz w:val="18"/>
          <w:szCs w:val="18"/>
        </w:rPr>
      </w:pPr>
      <w:r w:rsidRPr="00051A30">
        <w:rPr>
          <w:rFonts w:asciiTheme="minorHAnsi" w:hAnsiTheme="minorHAnsi"/>
          <w:b/>
          <w:bCs/>
          <w:sz w:val="18"/>
          <w:szCs w:val="18"/>
        </w:rPr>
        <w:t xml:space="preserve">     </w:t>
      </w:r>
      <w:r w:rsidRPr="00051A30">
        <w:rPr>
          <w:rFonts w:asciiTheme="minorHAnsi" w:hAnsiTheme="minorHAnsi"/>
          <w:b/>
          <w:bCs/>
          <w:sz w:val="18"/>
          <w:szCs w:val="18"/>
        </w:rPr>
        <w:tab/>
      </w:r>
      <w:r w:rsidRPr="00051A30">
        <w:rPr>
          <w:rFonts w:asciiTheme="minorHAnsi" w:hAnsiTheme="minorHAnsi"/>
          <w:b/>
          <w:bCs/>
          <w:sz w:val="18"/>
          <w:szCs w:val="18"/>
        </w:rPr>
        <w:tab/>
      </w:r>
      <w:r w:rsidRPr="00051A30">
        <w:rPr>
          <w:rFonts w:asciiTheme="minorHAnsi" w:hAnsiTheme="minorHAnsi"/>
          <w:b/>
          <w:bCs/>
          <w:sz w:val="18"/>
          <w:szCs w:val="18"/>
        </w:rPr>
        <w:tab/>
      </w:r>
      <w:r w:rsidRPr="00051A30">
        <w:rPr>
          <w:rFonts w:asciiTheme="minorHAnsi" w:hAnsiTheme="minorHAnsi"/>
          <w:b/>
          <w:bCs/>
          <w:sz w:val="18"/>
          <w:szCs w:val="18"/>
        </w:rPr>
        <w:tab/>
      </w:r>
      <w:r w:rsidRPr="00051A30">
        <w:rPr>
          <w:rFonts w:asciiTheme="minorHAnsi" w:hAnsiTheme="minorHAnsi"/>
          <w:b/>
          <w:bCs/>
          <w:sz w:val="18"/>
          <w:szCs w:val="18"/>
        </w:rPr>
        <w:tab/>
      </w:r>
      <w:r w:rsidRPr="00051A30">
        <w:rPr>
          <w:rFonts w:asciiTheme="minorHAnsi" w:hAnsiTheme="minorHAnsi"/>
          <w:b/>
          <w:bCs/>
          <w:sz w:val="18"/>
          <w:szCs w:val="18"/>
        </w:rPr>
        <w:tab/>
      </w:r>
      <w:r w:rsidRPr="00051A30">
        <w:rPr>
          <w:rFonts w:asciiTheme="minorHAnsi" w:hAnsiTheme="minorHAnsi"/>
          <w:b/>
          <w:bCs/>
          <w:sz w:val="18"/>
          <w:szCs w:val="18"/>
        </w:rPr>
        <w:tab/>
      </w:r>
      <w:r w:rsidRPr="00051A30">
        <w:rPr>
          <w:rFonts w:asciiTheme="minorHAnsi" w:hAnsiTheme="minorHAnsi"/>
          <w:b/>
          <w:bCs/>
          <w:sz w:val="18"/>
          <w:szCs w:val="18"/>
        </w:rPr>
        <w:tab/>
      </w:r>
    </w:p>
    <w:p w:rsidR="00064624" w:rsidRPr="00051A30" w:rsidRDefault="00051A30" w:rsidP="00051A30">
      <w:pPr>
        <w:ind w:left="4248"/>
        <w:jc w:val="both"/>
        <w:rPr>
          <w:rFonts w:asciiTheme="minorHAnsi" w:hAnsiTheme="minorHAnsi"/>
          <w:b/>
          <w:sz w:val="18"/>
          <w:szCs w:val="18"/>
        </w:rPr>
      </w:pPr>
      <w:r>
        <w:rPr>
          <w:rFonts w:asciiTheme="minorHAnsi" w:hAnsiTheme="minorHAnsi"/>
          <w:b/>
          <w:bCs/>
          <w:sz w:val="18"/>
          <w:szCs w:val="18"/>
        </w:rPr>
        <w:t xml:space="preserve">       </w:t>
      </w:r>
      <w:bookmarkStart w:id="0" w:name="_GoBack"/>
      <w:bookmarkEnd w:id="0"/>
      <w:r w:rsidR="00064624" w:rsidRPr="00051A30">
        <w:rPr>
          <w:rFonts w:asciiTheme="minorHAnsi" w:hAnsiTheme="minorHAnsi"/>
          <w:b/>
          <w:bCs/>
          <w:sz w:val="18"/>
          <w:szCs w:val="18"/>
        </w:rPr>
        <w:t>Jacques GENEST</w:t>
      </w:r>
    </w:p>
    <w:p w:rsidR="00064624" w:rsidRPr="00051A30" w:rsidRDefault="00064624" w:rsidP="00051A30">
      <w:pPr>
        <w:spacing w:after="120" w:line="240" w:lineRule="atLeast"/>
        <w:jc w:val="both"/>
        <w:rPr>
          <w:rFonts w:asciiTheme="minorHAnsi" w:hAnsiTheme="minorHAnsi"/>
          <w:b/>
          <w:sz w:val="18"/>
          <w:szCs w:val="18"/>
        </w:rPr>
      </w:pPr>
    </w:p>
    <w:p w:rsidR="00064624" w:rsidRPr="00051A30" w:rsidRDefault="00064624" w:rsidP="00051A30">
      <w:pPr>
        <w:rPr>
          <w:rFonts w:asciiTheme="minorHAnsi" w:hAnsiTheme="minorHAnsi"/>
          <w:sz w:val="18"/>
          <w:szCs w:val="18"/>
        </w:rPr>
      </w:pPr>
    </w:p>
    <w:p w:rsidR="00586BE6" w:rsidRPr="00051A30" w:rsidRDefault="00586BE6" w:rsidP="00051A30">
      <w:pPr>
        <w:rPr>
          <w:rFonts w:asciiTheme="minorHAnsi" w:hAnsiTheme="minorHAnsi"/>
          <w:sz w:val="18"/>
          <w:szCs w:val="18"/>
        </w:rPr>
      </w:pPr>
    </w:p>
    <w:sectPr w:rsidR="00586BE6" w:rsidRPr="00051A30" w:rsidSect="00051A30">
      <w:headerReference w:type="even" r:id="rId8"/>
      <w:headerReference w:type="default" r:id="rId9"/>
      <w:footerReference w:type="even" r:id="rId10"/>
      <w:footerReference w:type="default" r:id="rId11"/>
      <w:headerReference w:type="first" r:id="rId12"/>
      <w:footerReference w:type="first" r:id="rId13"/>
      <w:pgSz w:w="11906" w:h="16838"/>
      <w:pgMar w:top="426" w:right="707"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51A30">
      <w:r>
        <w:separator/>
      </w:r>
    </w:p>
  </w:endnote>
  <w:endnote w:type="continuationSeparator" w:id="0">
    <w:p w:rsidR="00000000" w:rsidRDefault="00051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 LT 57 Cn">
    <w:altName w:val="Cambria"/>
    <w:charset w:val="00"/>
    <w:family w:val="auto"/>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FE9" w:rsidRDefault="00051A3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FE9" w:rsidRDefault="00051A30">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FE9" w:rsidRDefault="00051A3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51A30">
      <w:r>
        <w:separator/>
      </w:r>
    </w:p>
  </w:footnote>
  <w:footnote w:type="continuationSeparator" w:id="0">
    <w:p w:rsidR="00000000" w:rsidRDefault="00051A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FE9" w:rsidRDefault="00051A3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FE9" w:rsidRDefault="00051A30">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FE9" w:rsidRDefault="00051A3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23A7F"/>
    <w:multiLevelType w:val="hybridMultilevel"/>
    <w:tmpl w:val="8BB4E68C"/>
    <w:lvl w:ilvl="0" w:tplc="040C0005">
      <w:start w:val="1"/>
      <w:numFmt w:val="bullet"/>
      <w:lvlText w:val=""/>
      <w:lvlJc w:val="left"/>
      <w:pPr>
        <w:ind w:left="720" w:hanging="360"/>
      </w:pPr>
      <w:rPr>
        <w:rFonts w:ascii="Wingdings" w:hAnsi="Wingdings" w:hint="default"/>
      </w:rPr>
    </w:lvl>
    <w:lvl w:ilvl="1" w:tplc="3F4CCBF8">
      <w:start w:val="1"/>
      <w:numFmt w:val="bullet"/>
      <w:lvlText w:val="­"/>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C356196"/>
    <w:multiLevelType w:val="hybridMultilevel"/>
    <w:tmpl w:val="1BE8EF76"/>
    <w:lvl w:ilvl="0" w:tplc="3F4CCBF8">
      <w:start w:val="1"/>
      <w:numFmt w:val="bullet"/>
      <w:lvlText w:val="­"/>
      <w:lvlJc w:val="left"/>
      <w:pPr>
        <w:ind w:left="1068" w:hanging="360"/>
      </w:pPr>
      <w:rPr>
        <w:rFonts w:ascii="Courier New" w:hAnsi="Courier New" w:hint="default"/>
      </w:rPr>
    </w:lvl>
    <w:lvl w:ilvl="1" w:tplc="3F4CCBF8">
      <w:start w:val="1"/>
      <w:numFmt w:val="bullet"/>
      <w:lvlText w:val="­"/>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nsid w:val="2AE2675C"/>
    <w:multiLevelType w:val="hybridMultilevel"/>
    <w:tmpl w:val="1C728D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9E63DAB"/>
    <w:multiLevelType w:val="hybridMultilevel"/>
    <w:tmpl w:val="FA1815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624"/>
    <w:rsid w:val="00051A30"/>
    <w:rsid w:val="00064624"/>
    <w:rsid w:val="002133C3"/>
    <w:rsid w:val="003A51FA"/>
    <w:rsid w:val="00586BE6"/>
    <w:rsid w:val="00F00F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24"/>
    <w:pPr>
      <w:spacing w:after="0" w:line="240" w:lineRule="auto"/>
    </w:pPr>
    <w:rPr>
      <w:rFonts w:ascii="Frutiger LT 57 Cn" w:eastAsia="Times New Roman" w:hAnsi="Frutiger LT 57 Cn" w:cs="Times New Roman"/>
      <w:lang w:eastAsia="fr-FR"/>
    </w:rPr>
  </w:style>
  <w:style w:type="paragraph" w:styleId="Titre1">
    <w:name w:val="heading 1"/>
    <w:basedOn w:val="Normal"/>
    <w:next w:val="Normal"/>
    <w:link w:val="Titre1Car"/>
    <w:qFormat/>
    <w:rsid w:val="00064624"/>
    <w:pPr>
      <w:keepNext/>
      <w:spacing w:before="240" w:after="6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64624"/>
    <w:rPr>
      <w:rFonts w:ascii="Arial" w:eastAsia="Times New Roman" w:hAnsi="Arial" w:cs="Arial"/>
      <w:b/>
      <w:bCs/>
      <w:kern w:val="32"/>
      <w:sz w:val="32"/>
      <w:szCs w:val="32"/>
      <w:lang w:eastAsia="fr-FR"/>
    </w:rPr>
  </w:style>
  <w:style w:type="paragraph" w:styleId="En-tte">
    <w:name w:val="header"/>
    <w:basedOn w:val="Normal"/>
    <w:link w:val="En-tteCar"/>
    <w:rsid w:val="00064624"/>
    <w:pPr>
      <w:tabs>
        <w:tab w:val="center" w:pos="4536"/>
        <w:tab w:val="right" w:pos="9072"/>
      </w:tabs>
    </w:pPr>
  </w:style>
  <w:style w:type="character" w:customStyle="1" w:styleId="En-tteCar">
    <w:name w:val="En-tête Car"/>
    <w:basedOn w:val="Policepardfaut"/>
    <w:link w:val="En-tte"/>
    <w:rsid w:val="00064624"/>
    <w:rPr>
      <w:rFonts w:ascii="Frutiger LT 57 Cn" w:eastAsia="Times New Roman" w:hAnsi="Frutiger LT 57 Cn" w:cs="Times New Roman"/>
      <w:lang w:eastAsia="fr-FR"/>
    </w:rPr>
  </w:style>
  <w:style w:type="paragraph" w:styleId="Pieddepage">
    <w:name w:val="footer"/>
    <w:basedOn w:val="Normal"/>
    <w:link w:val="PieddepageCar"/>
    <w:rsid w:val="00064624"/>
    <w:pPr>
      <w:tabs>
        <w:tab w:val="center" w:pos="4536"/>
        <w:tab w:val="right" w:pos="9072"/>
      </w:tabs>
    </w:pPr>
  </w:style>
  <w:style w:type="character" w:customStyle="1" w:styleId="PieddepageCar">
    <w:name w:val="Pied de page Car"/>
    <w:basedOn w:val="Policepardfaut"/>
    <w:link w:val="Pieddepage"/>
    <w:rsid w:val="00064624"/>
    <w:rPr>
      <w:rFonts w:ascii="Frutiger LT 57 Cn" w:eastAsia="Times New Roman" w:hAnsi="Frutiger LT 57 Cn" w:cs="Times New Roman"/>
      <w:lang w:eastAsia="fr-FR"/>
    </w:rPr>
  </w:style>
  <w:style w:type="paragraph" w:customStyle="1" w:styleId="PARA">
    <w:name w:val="PARA"/>
    <w:basedOn w:val="Normal"/>
    <w:rsid w:val="00064624"/>
    <w:pPr>
      <w:ind w:firstLine="600"/>
      <w:jc w:val="both"/>
    </w:pPr>
    <w:rPr>
      <w:rFonts w:ascii="Times" w:hAnsi="Times"/>
      <w:sz w:val="24"/>
      <w:szCs w:val="20"/>
    </w:rPr>
  </w:style>
  <w:style w:type="paragraph" w:styleId="Paragraphedeliste">
    <w:name w:val="List Paragraph"/>
    <w:basedOn w:val="Normal"/>
    <w:uiPriority w:val="34"/>
    <w:qFormat/>
    <w:rsid w:val="003A51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24"/>
    <w:pPr>
      <w:spacing w:after="0" w:line="240" w:lineRule="auto"/>
    </w:pPr>
    <w:rPr>
      <w:rFonts w:ascii="Frutiger LT 57 Cn" w:eastAsia="Times New Roman" w:hAnsi="Frutiger LT 57 Cn" w:cs="Times New Roman"/>
      <w:lang w:eastAsia="fr-FR"/>
    </w:rPr>
  </w:style>
  <w:style w:type="paragraph" w:styleId="Titre1">
    <w:name w:val="heading 1"/>
    <w:basedOn w:val="Normal"/>
    <w:next w:val="Normal"/>
    <w:link w:val="Titre1Car"/>
    <w:qFormat/>
    <w:rsid w:val="00064624"/>
    <w:pPr>
      <w:keepNext/>
      <w:spacing w:before="240" w:after="6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64624"/>
    <w:rPr>
      <w:rFonts w:ascii="Arial" w:eastAsia="Times New Roman" w:hAnsi="Arial" w:cs="Arial"/>
      <w:b/>
      <w:bCs/>
      <w:kern w:val="32"/>
      <w:sz w:val="32"/>
      <w:szCs w:val="32"/>
      <w:lang w:eastAsia="fr-FR"/>
    </w:rPr>
  </w:style>
  <w:style w:type="paragraph" w:styleId="En-tte">
    <w:name w:val="header"/>
    <w:basedOn w:val="Normal"/>
    <w:link w:val="En-tteCar"/>
    <w:rsid w:val="00064624"/>
    <w:pPr>
      <w:tabs>
        <w:tab w:val="center" w:pos="4536"/>
        <w:tab w:val="right" w:pos="9072"/>
      </w:tabs>
    </w:pPr>
  </w:style>
  <w:style w:type="character" w:customStyle="1" w:styleId="En-tteCar">
    <w:name w:val="En-tête Car"/>
    <w:basedOn w:val="Policepardfaut"/>
    <w:link w:val="En-tte"/>
    <w:rsid w:val="00064624"/>
    <w:rPr>
      <w:rFonts w:ascii="Frutiger LT 57 Cn" w:eastAsia="Times New Roman" w:hAnsi="Frutiger LT 57 Cn" w:cs="Times New Roman"/>
      <w:lang w:eastAsia="fr-FR"/>
    </w:rPr>
  </w:style>
  <w:style w:type="paragraph" w:styleId="Pieddepage">
    <w:name w:val="footer"/>
    <w:basedOn w:val="Normal"/>
    <w:link w:val="PieddepageCar"/>
    <w:rsid w:val="00064624"/>
    <w:pPr>
      <w:tabs>
        <w:tab w:val="center" w:pos="4536"/>
        <w:tab w:val="right" w:pos="9072"/>
      </w:tabs>
    </w:pPr>
  </w:style>
  <w:style w:type="character" w:customStyle="1" w:styleId="PieddepageCar">
    <w:name w:val="Pied de page Car"/>
    <w:basedOn w:val="Policepardfaut"/>
    <w:link w:val="Pieddepage"/>
    <w:rsid w:val="00064624"/>
    <w:rPr>
      <w:rFonts w:ascii="Frutiger LT 57 Cn" w:eastAsia="Times New Roman" w:hAnsi="Frutiger LT 57 Cn" w:cs="Times New Roman"/>
      <w:lang w:eastAsia="fr-FR"/>
    </w:rPr>
  </w:style>
  <w:style w:type="paragraph" w:customStyle="1" w:styleId="PARA">
    <w:name w:val="PARA"/>
    <w:basedOn w:val="Normal"/>
    <w:rsid w:val="00064624"/>
    <w:pPr>
      <w:ind w:firstLine="600"/>
      <w:jc w:val="both"/>
    </w:pPr>
    <w:rPr>
      <w:rFonts w:ascii="Times" w:hAnsi="Times"/>
      <w:sz w:val="24"/>
      <w:szCs w:val="20"/>
    </w:rPr>
  </w:style>
  <w:style w:type="paragraph" w:styleId="Paragraphedeliste">
    <w:name w:val="List Paragraph"/>
    <w:basedOn w:val="Normal"/>
    <w:uiPriority w:val="34"/>
    <w:qFormat/>
    <w:rsid w:val="003A51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456</Words>
  <Characters>2511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Magnus_adm</dc:creator>
  <cp:lastModifiedBy>CHANDELLIER Isabelle</cp:lastModifiedBy>
  <cp:revision>2</cp:revision>
  <dcterms:created xsi:type="dcterms:W3CDTF">2015-10-27T13:03:00Z</dcterms:created>
  <dcterms:modified xsi:type="dcterms:W3CDTF">2015-11-03T15:30:00Z</dcterms:modified>
</cp:coreProperties>
</file>