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3A1" w:rsidRPr="0080313A" w:rsidRDefault="004813A1" w:rsidP="0080313A">
      <w:pPr>
        <w:keepNext/>
        <w:spacing w:before="240" w:after="60" w:line="240" w:lineRule="auto"/>
        <w:jc w:val="both"/>
        <w:outlineLvl w:val="3"/>
        <w:rPr>
          <w:rFonts w:ascii="Frutiger LT 57 Cn" w:hAnsi="Frutiger LT 57 Cn"/>
          <w:b/>
          <w:bCs/>
          <w:sz w:val="18"/>
          <w:szCs w:val="18"/>
          <w:u w:val="single"/>
        </w:rPr>
      </w:pPr>
      <w:r w:rsidRPr="0080313A">
        <w:rPr>
          <w:rFonts w:ascii="Frutiger LT 57 Cn" w:hAnsi="Frutiger LT 57 Cn"/>
          <w:b/>
          <w:bCs/>
          <w:sz w:val="18"/>
          <w:szCs w:val="18"/>
          <w:u w:val="single"/>
        </w:rPr>
        <w:t>SEANCE DU 09  NOVEMBRE 2015</w:t>
      </w:r>
    </w:p>
    <w:p w:rsidR="004813A1" w:rsidRPr="0080313A" w:rsidRDefault="004813A1" w:rsidP="0080313A">
      <w:pPr>
        <w:spacing w:after="0" w:line="240" w:lineRule="auto"/>
        <w:jc w:val="both"/>
        <w:rPr>
          <w:sz w:val="18"/>
          <w:szCs w:val="18"/>
        </w:rPr>
      </w:pPr>
      <w:r w:rsidRPr="0080313A">
        <w:rPr>
          <w:rFonts w:ascii="Frutiger LT 57 Cn" w:hAnsi="Frutiger LT 57 Cn" w:cs="Arial"/>
          <w:b/>
          <w:bCs/>
          <w:sz w:val="18"/>
          <w:szCs w:val="18"/>
        </w:rPr>
        <w:t>DELIBERATION</w:t>
      </w:r>
    </w:p>
    <w:p w:rsidR="004813A1" w:rsidRPr="0080313A" w:rsidRDefault="004813A1" w:rsidP="0080313A">
      <w:pPr>
        <w:spacing w:after="0" w:line="240" w:lineRule="auto"/>
        <w:jc w:val="both"/>
        <w:rPr>
          <w:sz w:val="18"/>
          <w:szCs w:val="18"/>
        </w:rPr>
      </w:pPr>
    </w:p>
    <w:p w:rsidR="004813A1" w:rsidRPr="0080313A" w:rsidRDefault="004813A1" w:rsidP="0080313A">
      <w:pPr>
        <w:spacing w:after="0" w:line="240" w:lineRule="auto"/>
        <w:jc w:val="both"/>
        <w:rPr>
          <w:sz w:val="18"/>
          <w:szCs w:val="18"/>
        </w:rPr>
      </w:pPr>
      <w:r w:rsidRPr="0080313A">
        <w:rPr>
          <w:sz w:val="18"/>
          <w:szCs w:val="18"/>
        </w:rPr>
        <w:t>L’an 2015, le 09 novembre  à 10H00, s’est réuni au siège du SDE07 à PRIVAS, le Comité syndical du SDE, sous la présidence de Monsieur Jacques GENEST.</w:t>
      </w:r>
    </w:p>
    <w:p w:rsidR="004813A1" w:rsidRPr="0080313A" w:rsidRDefault="004813A1" w:rsidP="0080313A">
      <w:pPr>
        <w:spacing w:after="0" w:line="240" w:lineRule="auto"/>
        <w:jc w:val="both"/>
        <w:rPr>
          <w:sz w:val="18"/>
          <w:szCs w:val="18"/>
        </w:rPr>
      </w:pPr>
    </w:p>
    <w:p w:rsidR="004813A1" w:rsidRPr="0080313A" w:rsidRDefault="004813A1" w:rsidP="0080313A">
      <w:pPr>
        <w:spacing w:after="0" w:line="240" w:lineRule="auto"/>
        <w:jc w:val="both"/>
        <w:rPr>
          <w:sz w:val="18"/>
          <w:szCs w:val="18"/>
        </w:rPr>
      </w:pPr>
      <w:r w:rsidRPr="0080313A">
        <w:rPr>
          <w:sz w:val="18"/>
          <w:szCs w:val="18"/>
        </w:rPr>
        <w:t>Membres convoqués :</w:t>
      </w:r>
    </w:p>
    <w:p w:rsidR="004813A1" w:rsidRPr="0080313A" w:rsidRDefault="004813A1" w:rsidP="0080313A">
      <w:pPr>
        <w:spacing w:after="0" w:line="240" w:lineRule="auto"/>
        <w:jc w:val="both"/>
        <w:rPr>
          <w:sz w:val="18"/>
          <w:szCs w:val="18"/>
        </w:rPr>
      </w:pPr>
      <w:r w:rsidRPr="0080313A">
        <w:rPr>
          <w:sz w:val="18"/>
          <w:szCs w:val="18"/>
        </w:rPr>
        <w:t>Membres présents :</w:t>
      </w:r>
    </w:p>
    <w:p w:rsidR="004813A1" w:rsidRPr="0080313A" w:rsidRDefault="004813A1" w:rsidP="0080313A">
      <w:pPr>
        <w:spacing w:after="0" w:line="240" w:lineRule="auto"/>
        <w:jc w:val="both"/>
        <w:rPr>
          <w:sz w:val="18"/>
          <w:szCs w:val="18"/>
        </w:rPr>
      </w:pPr>
      <w:r w:rsidRPr="0080313A">
        <w:rPr>
          <w:sz w:val="18"/>
          <w:szCs w:val="18"/>
        </w:rPr>
        <w:t>Membres excusés :</w:t>
      </w:r>
    </w:p>
    <w:p w:rsidR="004813A1" w:rsidRPr="0080313A" w:rsidRDefault="004813A1" w:rsidP="0080313A">
      <w:pPr>
        <w:spacing w:after="0" w:line="240" w:lineRule="auto"/>
        <w:jc w:val="both"/>
        <w:rPr>
          <w:sz w:val="18"/>
          <w:szCs w:val="18"/>
        </w:rPr>
      </w:pPr>
      <w:r w:rsidRPr="0080313A">
        <w:rPr>
          <w:sz w:val="18"/>
          <w:szCs w:val="18"/>
        </w:rPr>
        <w:t>Procurations :</w:t>
      </w:r>
    </w:p>
    <w:p w:rsidR="004813A1" w:rsidRPr="0080313A" w:rsidRDefault="004813A1" w:rsidP="0080313A">
      <w:pPr>
        <w:pStyle w:val="Doc-Titre"/>
        <w:jc w:val="both"/>
        <w:rPr>
          <w:rFonts w:asciiTheme="minorHAnsi" w:hAnsiTheme="minorHAnsi"/>
          <w:sz w:val="18"/>
          <w:szCs w:val="18"/>
        </w:rPr>
      </w:pPr>
      <w:r w:rsidRPr="0080313A">
        <w:rPr>
          <w:rFonts w:asciiTheme="minorHAnsi" w:hAnsiTheme="minorHAnsi"/>
          <w:sz w:val="18"/>
          <w:szCs w:val="18"/>
          <w:u w:val="single"/>
        </w:rPr>
        <w:t>Objet </w:t>
      </w:r>
      <w:r w:rsidRPr="0080313A">
        <w:rPr>
          <w:rFonts w:asciiTheme="minorHAnsi" w:hAnsiTheme="minorHAnsi"/>
          <w:sz w:val="18"/>
          <w:szCs w:val="18"/>
        </w:rPr>
        <w:t>: Convention</w:t>
      </w:r>
    </w:p>
    <w:p w:rsidR="004813A1" w:rsidRPr="0080313A" w:rsidRDefault="004813A1" w:rsidP="0080313A">
      <w:pPr>
        <w:pStyle w:val="Doc-Titre"/>
        <w:jc w:val="both"/>
        <w:rPr>
          <w:rFonts w:asciiTheme="minorHAnsi" w:hAnsiTheme="minorHAnsi"/>
          <w:sz w:val="18"/>
          <w:szCs w:val="18"/>
        </w:rPr>
      </w:pPr>
      <w:r w:rsidRPr="0080313A">
        <w:rPr>
          <w:rFonts w:asciiTheme="minorHAnsi" w:hAnsiTheme="minorHAnsi"/>
          <w:sz w:val="18"/>
          <w:szCs w:val="18"/>
        </w:rPr>
        <w:t>relative à l’usage dES supports des réseauX publicS de distribution d’ÉlectricitÉ basse tension (BT) et haute tension (HTA) aeriens</w:t>
      </w:r>
    </w:p>
    <w:p w:rsidR="004813A1" w:rsidRPr="0080313A" w:rsidRDefault="004813A1" w:rsidP="0080313A">
      <w:pPr>
        <w:pStyle w:val="Doc-Titre"/>
        <w:jc w:val="both"/>
        <w:rPr>
          <w:rFonts w:asciiTheme="minorHAnsi" w:hAnsiTheme="minorHAnsi"/>
          <w:sz w:val="18"/>
          <w:szCs w:val="18"/>
        </w:rPr>
      </w:pPr>
      <w:r w:rsidRPr="0080313A">
        <w:rPr>
          <w:rFonts w:asciiTheme="minorHAnsi" w:hAnsiTheme="minorHAnsi"/>
          <w:sz w:val="18"/>
          <w:szCs w:val="18"/>
        </w:rPr>
        <w:t xml:space="preserve">pour l’établissement et l’exploitation d’un réseau de communications électroniques </w:t>
      </w:r>
      <w:r w:rsidR="00434D92" w:rsidRPr="0080313A">
        <w:rPr>
          <w:rFonts w:asciiTheme="minorHAnsi" w:hAnsiTheme="minorHAnsi"/>
          <w:sz w:val="18"/>
          <w:szCs w:val="18"/>
        </w:rPr>
        <w:t>ENTRE SDE07-ERDF-ADN</w:t>
      </w:r>
    </w:p>
    <w:p w:rsidR="004813A1" w:rsidRPr="0080313A" w:rsidRDefault="004813A1" w:rsidP="0080313A">
      <w:pPr>
        <w:spacing w:after="0" w:line="240" w:lineRule="auto"/>
        <w:jc w:val="both"/>
        <w:rPr>
          <w:b/>
          <w:sz w:val="18"/>
          <w:szCs w:val="18"/>
        </w:rPr>
      </w:pPr>
    </w:p>
    <w:p w:rsidR="00434D92" w:rsidRPr="0080313A" w:rsidRDefault="0064041F" w:rsidP="0080313A">
      <w:pPr>
        <w:jc w:val="both"/>
        <w:rPr>
          <w:sz w:val="18"/>
          <w:szCs w:val="18"/>
        </w:rPr>
      </w:pPr>
      <w:r w:rsidRPr="0080313A">
        <w:rPr>
          <w:sz w:val="18"/>
          <w:szCs w:val="18"/>
        </w:rPr>
        <w:t>En préambule, l</w:t>
      </w:r>
      <w:r w:rsidR="00434D92" w:rsidRPr="0080313A">
        <w:rPr>
          <w:sz w:val="18"/>
          <w:szCs w:val="18"/>
        </w:rPr>
        <w:t>a convention porte sur l’installation des équipements d’un réseau de communications électroniques et l’exploitation dudit réseau.</w:t>
      </w:r>
    </w:p>
    <w:p w:rsidR="00434D92" w:rsidRPr="0080313A" w:rsidRDefault="00434D92" w:rsidP="0080313A">
      <w:pPr>
        <w:jc w:val="both"/>
        <w:rPr>
          <w:sz w:val="18"/>
          <w:szCs w:val="18"/>
        </w:rPr>
      </w:pPr>
      <w:r w:rsidRPr="0080313A">
        <w:rPr>
          <w:sz w:val="18"/>
          <w:szCs w:val="18"/>
        </w:rPr>
        <w:t>Le Projet de réseau de communications électroniques objet de la Convention requiert la mise à disposition du Réseau BT) et/ou du Réseau HTA et implique :</w:t>
      </w:r>
    </w:p>
    <w:p w:rsidR="00434D92" w:rsidRPr="0080313A" w:rsidRDefault="00434D92" w:rsidP="0080313A">
      <w:pPr>
        <w:numPr>
          <w:ilvl w:val="0"/>
          <w:numId w:val="2"/>
        </w:numPr>
        <w:suppressAutoHyphens/>
        <w:spacing w:after="120" w:line="240" w:lineRule="auto"/>
        <w:ind w:left="714" w:hanging="357"/>
        <w:jc w:val="both"/>
        <w:rPr>
          <w:sz w:val="18"/>
          <w:szCs w:val="18"/>
        </w:rPr>
      </w:pPr>
      <w:r w:rsidRPr="0080313A">
        <w:rPr>
          <w:sz w:val="18"/>
          <w:szCs w:val="18"/>
        </w:rPr>
        <w:t>Le Distributeur, gestionnaire du réseau public de distribution d’électricité ;</w:t>
      </w:r>
    </w:p>
    <w:p w:rsidR="00434D92" w:rsidRPr="0080313A" w:rsidRDefault="00434D92" w:rsidP="0080313A">
      <w:pPr>
        <w:numPr>
          <w:ilvl w:val="0"/>
          <w:numId w:val="2"/>
        </w:numPr>
        <w:suppressAutoHyphens/>
        <w:spacing w:after="120" w:line="240" w:lineRule="auto"/>
        <w:ind w:left="714" w:hanging="357"/>
        <w:jc w:val="both"/>
        <w:rPr>
          <w:sz w:val="18"/>
          <w:szCs w:val="18"/>
        </w:rPr>
      </w:pPr>
      <w:r w:rsidRPr="0080313A">
        <w:rPr>
          <w:sz w:val="18"/>
          <w:szCs w:val="18"/>
        </w:rPr>
        <w:t>L’AODE, Autorité organisatrice de la distribution publique d’électricité ;</w:t>
      </w:r>
    </w:p>
    <w:p w:rsidR="00434D92" w:rsidRPr="0080313A" w:rsidRDefault="00434D92" w:rsidP="0080313A">
      <w:pPr>
        <w:numPr>
          <w:ilvl w:val="0"/>
          <w:numId w:val="2"/>
        </w:numPr>
        <w:suppressAutoHyphens/>
        <w:spacing w:after="120" w:line="240" w:lineRule="auto"/>
        <w:ind w:left="714" w:hanging="357"/>
        <w:jc w:val="both"/>
        <w:rPr>
          <w:sz w:val="18"/>
          <w:szCs w:val="18"/>
        </w:rPr>
      </w:pPr>
      <w:r w:rsidRPr="0080313A">
        <w:rPr>
          <w:sz w:val="18"/>
          <w:szCs w:val="18"/>
        </w:rPr>
        <w:t>La ou les Autorités localement compétentes en matière d’infrastructures et de réseaux de communications électroniques ;</w:t>
      </w:r>
    </w:p>
    <w:p w:rsidR="00434D92" w:rsidRPr="0080313A" w:rsidRDefault="00434D92" w:rsidP="0080313A">
      <w:pPr>
        <w:numPr>
          <w:ilvl w:val="0"/>
          <w:numId w:val="2"/>
        </w:numPr>
        <w:suppressAutoHyphens/>
        <w:spacing w:after="120" w:line="240" w:lineRule="auto"/>
        <w:ind w:left="714" w:hanging="357"/>
        <w:jc w:val="both"/>
        <w:rPr>
          <w:sz w:val="18"/>
          <w:szCs w:val="18"/>
        </w:rPr>
      </w:pPr>
      <w:r w:rsidRPr="0080313A">
        <w:rPr>
          <w:sz w:val="18"/>
          <w:szCs w:val="18"/>
        </w:rPr>
        <w:t>L’Opérateur du réseau de communications électroniques</w:t>
      </w:r>
    </w:p>
    <w:p w:rsidR="00434D92" w:rsidRPr="0080313A" w:rsidRDefault="00434D92" w:rsidP="0080313A">
      <w:pPr>
        <w:jc w:val="both"/>
        <w:rPr>
          <w:sz w:val="18"/>
          <w:szCs w:val="18"/>
        </w:rPr>
      </w:pPr>
      <w:r w:rsidRPr="0080313A">
        <w:rPr>
          <w:b/>
          <w:sz w:val="18"/>
          <w:szCs w:val="18"/>
        </w:rPr>
        <w:t>Le Distributeur (ERDF)</w:t>
      </w:r>
      <w:r w:rsidRPr="0080313A">
        <w:rPr>
          <w:sz w:val="18"/>
          <w:szCs w:val="18"/>
        </w:rPr>
        <w:t xml:space="preserve"> est concessionnaire de la distribution publique d’électricité en vertu du Contrat de concession qu’il a signé avec </w:t>
      </w:r>
      <w:r w:rsidRPr="0080313A">
        <w:rPr>
          <w:b/>
          <w:sz w:val="18"/>
          <w:szCs w:val="18"/>
        </w:rPr>
        <w:t>l’AODE (SDE07).</w:t>
      </w:r>
    </w:p>
    <w:p w:rsidR="00434D92" w:rsidRPr="0080313A" w:rsidRDefault="00434D92" w:rsidP="0080313A">
      <w:pPr>
        <w:jc w:val="both"/>
        <w:rPr>
          <w:rFonts w:eastAsia="PMingLiU"/>
          <w:sz w:val="18"/>
          <w:szCs w:val="18"/>
        </w:rPr>
      </w:pPr>
      <w:r w:rsidRPr="0080313A">
        <w:rPr>
          <w:sz w:val="18"/>
          <w:szCs w:val="18"/>
        </w:rPr>
        <w:t xml:space="preserve">Le Maître d’Ouvrage ou </w:t>
      </w:r>
      <w:r w:rsidRPr="0080313A">
        <w:rPr>
          <w:b/>
          <w:sz w:val="18"/>
          <w:szCs w:val="18"/>
        </w:rPr>
        <w:t>l’Opérateur (ADN)</w:t>
      </w:r>
      <w:r w:rsidRPr="0080313A">
        <w:rPr>
          <w:rFonts w:eastAsia="PMingLiU"/>
          <w:sz w:val="18"/>
          <w:szCs w:val="18"/>
        </w:rPr>
        <w:t xml:space="preserve"> a décidé de déployer un réseau de communications électroniques sur le territoire de[s] commune[s] visées à l’article 2 de l’Annexe 2</w:t>
      </w:r>
      <w:r w:rsidRPr="0080313A">
        <w:rPr>
          <w:sz w:val="18"/>
          <w:szCs w:val="18"/>
        </w:rPr>
        <w:t>.</w:t>
      </w:r>
      <w:r w:rsidRPr="0080313A">
        <w:rPr>
          <w:rFonts w:eastAsia="PMingLiU"/>
          <w:sz w:val="18"/>
          <w:szCs w:val="18"/>
        </w:rPr>
        <w:t xml:space="preserve"> </w:t>
      </w:r>
      <w:r w:rsidRPr="0080313A">
        <w:rPr>
          <w:sz w:val="18"/>
          <w:szCs w:val="18"/>
        </w:rPr>
        <w:t xml:space="preserve">Il </w:t>
      </w:r>
      <w:r w:rsidRPr="0080313A">
        <w:rPr>
          <w:rFonts w:eastAsia="PMingLiU"/>
          <w:sz w:val="18"/>
          <w:szCs w:val="18"/>
        </w:rPr>
        <w:t xml:space="preserve">a retenu, </w:t>
      </w:r>
      <w:r w:rsidRPr="0080313A">
        <w:rPr>
          <w:sz w:val="18"/>
          <w:szCs w:val="18"/>
        </w:rPr>
        <w:t>(entre autres)</w:t>
      </w:r>
      <w:r w:rsidRPr="0080313A">
        <w:rPr>
          <w:rFonts w:eastAsia="PMingLiU"/>
          <w:sz w:val="18"/>
          <w:szCs w:val="18"/>
        </w:rPr>
        <w:t>, une technologie filaire (câbles cuivre, câbles coaxiaux, câbles à fibres optiques) sur ligne électrique aérienne pour la [les] commune[s] listée[s].</w:t>
      </w:r>
    </w:p>
    <w:p w:rsidR="00434D92" w:rsidRPr="0080313A" w:rsidRDefault="00434D92" w:rsidP="0080313A">
      <w:pPr>
        <w:spacing w:after="0" w:line="240" w:lineRule="auto"/>
        <w:jc w:val="both"/>
        <w:rPr>
          <w:sz w:val="18"/>
          <w:szCs w:val="18"/>
        </w:rPr>
      </w:pPr>
      <w:r w:rsidRPr="0080313A">
        <w:rPr>
          <w:rFonts w:eastAsia="PMingLiU"/>
          <w:sz w:val="18"/>
          <w:szCs w:val="18"/>
        </w:rPr>
        <w:t>L’article L.45-9 du Code des postes et des communications électroniques ci-après le « CPCE ») et l’article 3 du cahier des charges de distribution publique d’électricité annexé au Contrat de concession de la distribution publique d’électricité signée entre le Distributeur et l’AODE, autorisent l’installation sur le réseau concédé d’ouvrages pour d’autres services tels que des services de communications électroniques sous réserve de la signature d’une convention entre le Maître d’Ouvrage du projet,</w:t>
      </w:r>
      <w:r w:rsidRPr="0080313A">
        <w:rPr>
          <w:sz w:val="18"/>
          <w:szCs w:val="18"/>
        </w:rPr>
        <w:t xml:space="preserve"> </w:t>
      </w:r>
      <w:r w:rsidRPr="0080313A">
        <w:rPr>
          <w:rFonts w:eastAsia="PMingLiU"/>
          <w:sz w:val="18"/>
          <w:szCs w:val="18"/>
        </w:rPr>
        <w:t>l’Opérateur</w:t>
      </w:r>
      <w:r w:rsidRPr="0080313A">
        <w:rPr>
          <w:color w:val="0000FF"/>
          <w:sz w:val="18"/>
          <w:szCs w:val="18"/>
        </w:rPr>
        <w:t xml:space="preserve"> </w:t>
      </w:r>
      <w:r w:rsidRPr="0080313A">
        <w:rPr>
          <w:rFonts w:eastAsia="PMingLiU"/>
          <w:sz w:val="18"/>
          <w:szCs w:val="18"/>
        </w:rPr>
        <w:t>chargé de l’établissement et de l’exploitation des ouvrages concernés, le Distributeur et l’AODE.</w:t>
      </w:r>
    </w:p>
    <w:p w:rsidR="00434D92" w:rsidRPr="0080313A" w:rsidRDefault="00434D92" w:rsidP="0080313A">
      <w:pPr>
        <w:jc w:val="both"/>
        <w:rPr>
          <w:rFonts w:eastAsia="PMingLiU"/>
          <w:sz w:val="18"/>
          <w:szCs w:val="18"/>
        </w:rPr>
      </w:pPr>
      <w:r w:rsidRPr="0080313A">
        <w:rPr>
          <w:rFonts w:eastAsia="PMingLiU"/>
          <w:sz w:val="18"/>
          <w:szCs w:val="18"/>
        </w:rPr>
        <w:t>La possibilité pour l’Opérateur ou le Maitre d’Ouvrage d’installer des équipements de communications électroniques sur le réseau public de distribution d’électricité est cependant fonction des disponibilités techniques existantes et des contraintes d’exploitation de ce réseau. Celui-ci est et demeure affecté au service public de la distribution d’énergie électrique. En outre, il ne doit en toutes hypothèses en résulter pour le Distributeur ni augmentation de ses charges financières, ni trouble dans son exploitation, notamment dans le cas visé par l’article L.2224-35 du Code général des collectivités territoriales et dans le cas visé par l’article L.49 du CPCE.</w:t>
      </w:r>
    </w:p>
    <w:p w:rsidR="00434D92" w:rsidRPr="0080313A" w:rsidRDefault="00434D92" w:rsidP="0080313A">
      <w:pPr>
        <w:jc w:val="both"/>
        <w:rPr>
          <w:rFonts w:eastAsia="PMingLiU"/>
          <w:sz w:val="18"/>
          <w:szCs w:val="18"/>
        </w:rPr>
      </w:pPr>
      <w:r w:rsidRPr="0080313A">
        <w:rPr>
          <w:rFonts w:eastAsia="PMingLiU"/>
          <w:sz w:val="18"/>
          <w:szCs w:val="18"/>
        </w:rPr>
        <w:t>Ainsi, les Parties s’engagent :</w:t>
      </w:r>
    </w:p>
    <w:p w:rsidR="00434D92" w:rsidRPr="0080313A" w:rsidRDefault="00434D92" w:rsidP="0080313A">
      <w:pPr>
        <w:numPr>
          <w:ilvl w:val="0"/>
          <w:numId w:val="3"/>
        </w:numPr>
        <w:suppressAutoHyphens/>
        <w:spacing w:after="120" w:line="240" w:lineRule="auto"/>
        <w:jc w:val="both"/>
        <w:rPr>
          <w:rFonts w:eastAsia="PMingLiU"/>
          <w:sz w:val="18"/>
          <w:szCs w:val="18"/>
        </w:rPr>
      </w:pPr>
      <w:r w:rsidRPr="0080313A">
        <w:rPr>
          <w:rFonts w:eastAsia="PMingLiU"/>
          <w:sz w:val="18"/>
          <w:szCs w:val="18"/>
        </w:rPr>
        <w:t>D’une part à garantir l’indépendance financière entre les activités d’exploitation du Réseau public de distribution d’électricité et les activités d'installation, puis d’exploitation du Réseau de communications électroniques.</w:t>
      </w:r>
    </w:p>
    <w:p w:rsidR="00434D92" w:rsidRPr="0080313A" w:rsidRDefault="00434D92" w:rsidP="0080313A">
      <w:pPr>
        <w:numPr>
          <w:ilvl w:val="0"/>
          <w:numId w:val="3"/>
        </w:numPr>
        <w:suppressAutoHyphens/>
        <w:spacing w:after="120" w:line="240" w:lineRule="auto"/>
        <w:jc w:val="both"/>
        <w:rPr>
          <w:rFonts w:eastAsia="PMingLiU"/>
          <w:sz w:val="18"/>
          <w:szCs w:val="18"/>
        </w:rPr>
      </w:pPr>
      <w:r w:rsidRPr="0080313A">
        <w:rPr>
          <w:rFonts w:eastAsia="PMingLiU"/>
          <w:sz w:val="18"/>
          <w:szCs w:val="18"/>
        </w:rPr>
        <w:t>D’autre part à ce que l’utilisation du Réseau public de distribution d’électricité pour l’établissement et l’exploitation d’un Réseau de communications électroniques n’ait pas d’impact négatif sur la qualité des prestations assurées aux utilisateurs du Réseau public de distribution électrique.</w:t>
      </w:r>
    </w:p>
    <w:p w:rsidR="00434D92" w:rsidRDefault="00434D92" w:rsidP="0080313A">
      <w:pPr>
        <w:jc w:val="both"/>
        <w:rPr>
          <w:rFonts w:eastAsia="PMingLiU"/>
          <w:sz w:val="18"/>
          <w:szCs w:val="18"/>
        </w:rPr>
      </w:pPr>
      <w:r w:rsidRPr="0080313A">
        <w:rPr>
          <w:rFonts w:eastAsia="PMingLiU"/>
          <w:sz w:val="18"/>
          <w:szCs w:val="18"/>
        </w:rPr>
        <w:t>La Collectivité organisatrice du service public local de communications électroniques définit les modalités d'un accès non discriminatoire des Opérateurs aux capacités d'accueil du Réseau de communications électroniques par le Réseau de distribution public d'électricité ouvertes par la Convention.</w:t>
      </w:r>
    </w:p>
    <w:p w:rsidR="0080313A" w:rsidRDefault="0080313A" w:rsidP="0080313A">
      <w:pPr>
        <w:jc w:val="both"/>
        <w:rPr>
          <w:rFonts w:eastAsia="PMingLiU"/>
          <w:sz w:val="18"/>
          <w:szCs w:val="18"/>
        </w:rPr>
      </w:pPr>
    </w:p>
    <w:p w:rsidR="0080313A" w:rsidRPr="0080313A" w:rsidRDefault="0080313A" w:rsidP="0080313A">
      <w:pPr>
        <w:jc w:val="both"/>
        <w:rPr>
          <w:rFonts w:eastAsia="PMingLiU"/>
          <w:sz w:val="18"/>
          <w:szCs w:val="18"/>
        </w:rPr>
      </w:pPr>
    </w:p>
    <w:p w:rsidR="00434D92" w:rsidRPr="0080313A" w:rsidRDefault="0064041F" w:rsidP="0080313A">
      <w:pPr>
        <w:jc w:val="both"/>
        <w:rPr>
          <w:rFonts w:eastAsia="PMingLiU"/>
          <w:sz w:val="18"/>
          <w:szCs w:val="18"/>
        </w:rPr>
      </w:pPr>
      <w:r w:rsidRPr="0080313A">
        <w:rPr>
          <w:rFonts w:eastAsia="PMingLiU"/>
          <w:b/>
          <w:sz w:val="18"/>
          <w:szCs w:val="18"/>
        </w:rPr>
        <w:lastRenderedPageBreak/>
        <w:t>L’objet de la convention est défini comme suit</w:t>
      </w:r>
      <w:r w:rsidRPr="0080313A">
        <w:rPr>
          <w:rFonts w:eastAsia="PMingLiU"/>
          <w:sz w:val="18"/>
          <w:szCs w:val="18"/>
        </w:rPr>
        <w:t xml:space="preserve"> :</w:t>
      </w:r>
    </w:p>
    <w:p w:rsidR="0064041F" w:rsidRPr="0080313A" w:rsidRDefault="0064041F" w:rsidP="0080313A">
      <w:pPr>
        <w:jc w:val="both"/>
        <w:rPr>
          <w:sz w:val="18"/>
          <w:szCs w:val="18"/>
        </w:rPr>
      </w:pPr>
      <w:r w:rsidRPr="0080313A">
        <w:rPr>
          <w:sz w:val="18"/>
          <w:szCs w:val="18"/>
        </w:rPr>
        <w:t>L’AODE et le Distributeur autorisent conjointement le Maître d’Ouvrage du Projet et/ou l’Opérateur à établir ou faire établir, ainsi qu’à exploiter, dans les conditions techniques et financières définies par la Convention, un Réseau de communications électroniques sur le Réseau BT et/ou sur le Réseau HTA desservant la[es] commune[s] du département de l’Ardèche, ainsi qu’à en assurer ou en faire assurer l’exploitation.</w:t>
      </w:r>
    </w:p>
    <w:p w:rsidR="0064041F" w:rsidRPr="0080313A" w:rsidRDefault="0064041F" w:rsidP="0080313A">
      <w:pPr>
        <w:jc w:val="both"/>
        <w:rPr>
          <w:sz w:val="18"/>
          <w:szCs w:val="18"/>
        </w:rPr>
      </w:pPr>
      <w:r w:rsidRPr="0080313A">
        <w:rPr>
          <w:sz w:val="18"/>
          <w:szCs w:val="18"/>
        </w:rPr>
        <w:t>Le périmètre du Projet est défini à l’Annexe 2. Le Projet donnera lieu à la réalisation d’une ou plusieurs Opérations.</w:t>
      </w:r>
    </w:p>
    <w:p w:rsidR="0064041F" w:rsidRPr="0080313A" w:rsidRDefault="0064041F" w:rsidP="0080313A">
      <w:pPr>
        <w:jc w:val="both"/>
        <w:rPr>
          <w:sz w:val="18"/>
          <w:szCs w:val="18"/>
        </w:rPr>
      </w:pPr>
      <w:r w:rsidRPr="0080313A">
        <w:rPr>
          <w:sz w:val="18"/>
          <w:szCs w:val="18"/>
        </w:rPr>
        <w:t>Le service public de la distribution électrique dont est chargé le Distributeur est prioritaire sur l’établissement et l’exploitation du Réseau de communications électroniques. Par voie de conséquence, le Maître d’Ouvrage et l’Opérateur ne peuvent s’opposer aux interventions effectuées par l'AODE dans le cadre de ses compétences (travaux d'enfouissement, etc.) ou par le Distributeur dans le cadre de la construction ou de l’exploitation du Réseau public de distribution d’électricité et des ouvrages qui le composent.</w:t>
      </w:r>
    </w:p>
    <w:p w:rsidR="0064041F" w:rsidRPr="0080313A" w:rsidRDefault="0064041F" w:rsidP="0080313A">
      <w:pPr>
        <w:jc w:val="both"/>
        <w:rPr>
          <w:sz w:val="18"/>
          <w:szCs w:val="18"/>
        </w:rPr>
      </w:pPr>
      <w:r w:rsidRPr="0080313A">
        <w:rPr>
          <w:sz w:val="18"/>
          <w:szCs w:val="18"/>
        </w:rPr>
        <w:t>L’Opérateur s’engage à ne pas porter atteinte au bon fonctionnement de la distribution publique d’électricité lors de l’établissement et de l’exploitation de son Réseau de communications électroniques.</w:t>
      </w:r>
    </w:p>
    <w:p w:rsidR="0064041F" w:rsidRPr="0080313A" w:rsidRDefault="0064041F" w:rsidP="0080313A">
      <w:pPr>
        <w:jc w:val="both"/>
        <w:rPr>
          <w:sz w:val="18"/>
          <w:szCs w:val="18"/>
        </w:rPr>
      </w:pPr>
      <w:r w:rsidRPr="0080313A">
        <w:rPr>
          <w:sz w:val="18"/>
          <w:szCs w:val="18"/>
        </w:rPr>
        <w:t>En aucun cas, la Convention ne saurait être constitutive de droits réels sur les ouvrages de distribution publique d’électricité au profit du Maître d’ouvrage, de l’Opérateur ou de leurs prestataires.</w:t>
      </w:r>
    </w:p>
    <w:p w:rsidR="0064041F" w:rsidRPr="0080313A" w:rsidRDefault="0064041F" w:rsidP="0080313A">
      <w:pPr>
        <w:jc w:val="both"/>
        <w:rPr>
          <w:color w:val="000000"/>
          <w:sz w:val="18"/>
          <w:szCs w:val="18"/>
        </w:rPr>
      </w:pPr>
      <w:r w:rsidRPr="0080313A">
        <w:rPr>
          <w:sz w:val="18"/>
          <w:szCs w:val="18"/>
        </w:rPr>
        <w:t>La Convention ne garantit pas à l’Opérateur ou au Maitre d’Ouvrage la mise à disposition d’un support. Par ailleurs, une convention peut être signée sur une même zone avec plusieurs Opérateurs. Seul l’accord technique, dont les modalités sont décrites dans l’Article 5.3, et donné par le Distributeur, engage les cosignataires de la Convention pour l’utilisation d’un ou plusieurs supports. Aucun accord technique ne peut être délivré si une convention n’a pas été préalablement signée avec l’opérateur ou le maitre d’ouvrage le demandant.</w:t>
      </w:r>
    </w:p>
    <w:p w:rsidR="0064041F" w:rsidRPr="0080313A" w:rsidRDefault="0064041F" w:rsidP="0080313A">
      <w:pPr>
        <w:jc w:val="both"/>
        <w:rPr>
          <w:sz w:val="18"/>
          <w:szCs w:val="18"/>
        </w:rPr>
      </w:pPr>
      <w:r w:rsidRPr="0080313A">
        <w:rPr>
          <w:sz w:val="18"/>
          <w:szCs w:val="18"/>
        </w:rPr>
        <w:t>Par ailleurs, d’une façon générale, le Maître d’Ouvrage et l’Opérateur s’engagent à respecter et à faire respecter par leurs sous-traitants et les éventuels utilisateurs des équipements d’accueil dont ils sont les gestionnaires, l’ensemble des modalités de mise en œuvre et d’exploitation du réseau de communications telles que prévues par les présentes. Cela vise notamment les obligations relatives à la sécurité des personnes et des biens, au respect de l’environnement, aux modalités techniques fixées par l’Annexe 5 et de confidentialité.</w:t>
      </w:r>
    </w:p>
    <w:p w:rsidR="0064041F" w:rsidRPr="0080313A" w:rsidRDefault="0064041F" w:rsidP="0080313A">
      <w:pPr>
        <w:jc w:val="both"/>
        <w:rPr>
          <w:b/>
          <w:sz w:val="18"/>
          <w:szCs w:val="18"/>
        </w:rPr>
      </w:pPr>
      <w:r w:rsidRPr="0080313A">
        <w:rPr>
          <w:b/>
          <w:sz w:val="18"/>
          <w:szCs w:val="18"/>
        </w:rPr>
        <w:t>Les modalités financières de la convention sont les suivantes :</w:t>
      </w:r>
    </w:p>
    <w:p w:rsidR="0064041F" w:rsidRPr="0080313A" w:rsidRDefault="0064041F" w:rsidP="0080313A">
      <w:pPr>
        <w:jc w:val="both"/>
        <w:rPr>
          <w:sz w:val="18"/>
          <w:szCs w:val="18"/>
        </w:rPr>
      </w:pPr>
      <w:r w:rsidRPr="0080313A">
        <w:rPr>
          <w:sz w:val="18"/>
          <w:szCs w:val="18"/>
        </w:rPr>
        <w:t>La mise en place sur le Réseau public de distribution d’électricité et l’exploitation d’un Réseau de communications électroniques ne doivent générer aucune charge économique supplémentaire ni pour l’AODE, ni pour le Distributeur ou pour les utilisateurs du Réseau public de distribution d’électricité.</w:t>
      </w:r>
    </w:p>
    <w:p w:rsidR="0064041F" w:rsidRPr="0080313A" w:rsidRDefault="0064041F" w:rsidP="0080313A">
      <w:pPr>
        <w:jc w:val="both"/>
        <w:rPr>
          <w:sz w:val="18"/>
          <w:szCs w:val="18"/>
        </w:rPr>
      </w:pPr>
      <w:r w:rsidRPr="0080313A">
        <w:rPr>
          <w:sz w:val="18"/>
          <w:szCs w:val="18"/>
        </w:rPr>
        <w:t>En conséquence, toutes les interventions et prestations que le Distributeur doit assurer au profit de l’Opérateur ou du Maître d’Ouvrage du Réseau de communications électroniques leur sont facturées.</w:t>
      </w:r>
    </w:p>
    <w:p w:rsidR="0064041F" w:rsidRPr="0080313A" w:rsidRDefault="0064041F" w:rsidP="0080313A">
      <w:pPr>
        <w:jc w:val="both"/>
        <w:rPr>
          <w:sz w:val="18"/>
          <w:szCs w:val="18"/>
        </w:rPr>
      </w:pPr>
      <w:r w:rsidRPr="0080313A">
        <w:rPr>
          <w:sz w:val="18"/>
          <w:szCs w:val="18"/>
        </w:rPr>
        <w:t>En outre, l’Opérateur ou le Maitre d’Ouvrage verse au Distributeur une redevance au titre du droit d’usage du Réseau public de distribution d’électricité, et à l’AODE une redevance pour l’utilisation de ce réseau.</w:t>
      </w:r>
    </w:p>
    <w:p w:rsidR="004813A1" w:rsidRPr="0080313A" w:rsidRDefault="00425343" w:rsidP="0080313A">
      <w:pPr>
        <w:autoSpaceDE w:val="0"/>
        <w:autoSpaceDN w:val="0"/>
        <w:adjustRightInd w:val="0"/>
        <w:spacing w:after="0" w:line="240" w:lineRule="auto"/>
        <w:jc w:val="both"/>
        <w:rPr>
          <w:rFonts w:eastAsia="Times New Roman" w:cs="Times New Roman"/>
          <w:sz w:val="18"/>
          <w:szCs w:val="18"/>
          <w:lang w:eastAsia="fr-FR"/>
        </w:rPr>
      </w:pPr>
      <w:r w:rsidRPr="0080313A">
        <w:rPr>
          <w:rFonts w:eastAsia="Times New Roman" w:cs="Times New Roman"/>
          <w:sz w:val="18"/>
          <w:szCs w:val="18"/>
          <w:lang w:eastAsia="fr-FR"/>
        </w:rPr>
        <w:t>Le détail des modalités est clairement exposé dans la convention.</w:t>
      </w:r>
    </w:p>
    <w:p w:rsidR="00425343" w:rsidRPr="0080313A" w:rsidRDefault="00425343" w:rsidP="0080313A">
      <w:pPr>
        <w:autoSpaceDE w:val="0"/>
        <w:autoSpaceDN w:val="0"/>
        <w:adjustRightInd w:val="0"/>
        <w:spacing w:after="0" w:line="240" w:lineRule="auto"/>
        <w:jc w:val="both"/>
        <w:rPr>
          <w:rFonts w:eastAsia="Times New Roman" w:cs="Times New Roman"/>
          <w:sz w:val="18"/>
          <w:szCs w:val="18"/>
          <w:lang w:eastAsia="fr-FR"/>
        </w:rPr>
      </w:pPr>
    </w:p>
    <w:p w:rsidR="00425343" w:rsidRPr="0080313A" w:rsidRDefault="00425343" w:rsidP="0080313A">
      <w:pPr>
        <w:autoSpaceDE w:val="0"/>
        <w:autoSpaceDN w:val="0"/>
        <w:adjustRightInd w:val="0"/>
        <w:spacing w:after="0" w:line="240" w:lineRule="auto"/>
        <w:jc w:val="both"/>
        <w:rPr>
          <w:rFonts w:eastAsia="Times New Roman" w:cs="Times New Roman"/>
          <w:sz w:val="18"/>
          <w:szCs w:val="18"/>
          <w:lang w:eastAsia="fr-FR"/>
        </w:rPr>
      </w:pPr>
      <w:r w:rsidRPr="0080313A">
        <w:rPr>
          <w:rFonts w:eastAsia="Times New Roman" w:cs="Times New Roman"/>
          <w:sz w:val="18"/>
          <w:szCs w:val="18"/>
          <w:lang w:eastAsia="fr-FR"/>
        </w:rPr>
        <w:t>La durée de la convention s’exerce indépendamment de l’échéance du Contrat de concession de distribution publique d’électricité en cours.</w:t>
      </w:r>
    </w:p>
    <w:p w:rsidR="00425343" w:rsidRPr="0080313A" w:rsidRDefault="00425343" w:rsidP="0080313A">
      <w:pPr>
        <w:autoSpaceDE w:val="0"/>
        <w:autoSpaceDN w:val="0"/>
        <w:adjustRightInd w:val="0"/>
        <w:spacing w:after="0" w:line="240" w:lineRule="auto"/>
        <w:jc w:val="both"/>
        <w:rPr>
          <w:rFonts w:eastAsia="Times New Roman" w:cs="Times New Roman"/>
          <w:sz w:val="18"/>
          <w:szCs w:val="18"/>
          <w:lang w:eastAsia="fr-FR"/>
        </w:rPr>
      </w:pPr>
      <w:r w:rsidRPr="0080313A">
        <w:rPr>
          <w:rFonts w:eastAsia="Times New Roman" w:cs="Times New Roman"/>
          <w:sz w:val="18"/>
          <w:szCs w:val="18"/>
          <w:lang w:eastAsia="fr-FR"/>
        </w:rPr>
        <w:t>Sa durée ne peut excéder 20 ans à compter de la signature entre les parties.</w:t>
      </w:r>
    </w:p>
    <w:p w:rsidR="004813A1" w:rsidRPr="0080313A" w:rsidRDefault="004813A1" w:rsidP="0080313A">
      <w:pPr>
        <w:autoSpaceDE w:val="0"/>
        <w:autoSpaceDN w:val="0"/>
        <w:adjustRightInd w:val="0"/>
        <w:spacing w:after="0" w:line="240" w:lineRule="auto"/>
        <w:jc w:val="both"/>
        <w:rPr>
          <w:sz w:val="18"/>
          <w:szCs w:val="18"/>
        </w:rPr>
      </w:pPr>
    </w:p>
    <w:p w:rsidR="004813A1" w:rsidRPr="0080313A" w:rsidRDefault="004813A1" w:rsidP="0080313A">
      <w:pPr>
        <w:spacing w:after="0" w:line="240" w:lineRule="auto"/>
        <w:jc w:val="both"/>
        <w:rPr>
          <w:sz w:val="18"/>
          <w:szCs w:val="18"/>
        </w:rPr>
      </w:pPr>
      <w:r w:rsidRPr="0080313A">
        <w:rPr>
          <w:sz w:val="18"/>
          <w:szCs w:val="18"/>
        </w:rPr>
        <w:t>Le Comité syndical,</w:t>
      </w:r>
    </w:p>
    <w:p w:rsidR="004813A1" w:rsidRPr="0080313A" w:rsidRDefault="004813A1" w:rsidP="0080313A">
      <w:pPr>
        <w:spacing w:after="0" w:line="240" w:lineRule="auto"/>
        <w:jc w:val="both"/>
        <w:rPr>
          <w:sz w:val="18"/>
          <w:szCs w:val="18"/>
        </w:rPr>
      </w:pPr>
      <w:r w:rsidRPr="0080313A">
        <w:rPr>
          <w:sz w:val="18"/>
          <w:szCs w:val="18"/>
        </w:rPr>
        <w:t>Après en avoir délibéré et à l’unanimité,</w:t>
      </w:r>
    </w:p>
    <w:p w:rsidR="004813A1" w:rsidRPr="0080313A" w:rsidRDefault="004813A1" w:rsidP="0080313A">
      <w:pPr>
        <w:spacing w:after="0" w:line="240" w:lineRule="auto"/>
        <w:jc w:val="both"/>
        <w:rPr>
          <w:sz w:val="18"/>
          <w:szCs w:val="18"/>
        </w:rPr>
      </w:pPr>
    </w:p>
    <w:p w:rsidR="004813A1" w:rsidRPr="0080313A" w:rsidRDefault="004813A1" w:rsidP="0080313A">
      <w:pPr>
        <w:spacing w:after="0" w:line="240" w:lineRule="auto"/>
        <w:jc w:val="both"/>
        <w:rPr>
          <w:b/>
          <w:sz w:val="16"/>
          <w:szCs w:val="18"/>
        </w:rPr>
      </w:pPr>
      <w:r w:rsidRPr="0080313A">
        <w:rPr>
          <w:b/>
          <w:sz w:val="18"/>
          <w:szCs w:val="18"/>
        </w:rPr>
        <w:t xml:space="preserve">- Décide d’autoriser le Président à signer </w:t>
      </w:r>
      <w:r w:rsidR="00425343" w:rsidRPr="0080313A">
        <w:rPr>
          <w:b/>
          <w:sz w:val="18"/>
          <w:szCs w:val="18"/>
        </w:rPr>
        <w:t xml:space="preserve">la convention </w:t>
      </w:r>
      <w:r w:rsidR="00425343" w:rsidRPr="0080313A">
        <w:rPr>
          <w:b/>
          <w:sz w:val="16"/>
          <w:szCs w:val="18"/>
        </w:rPr>
        <w:t>tripartite entre ERDF-ADN et le SDE07 relative à l’usage des supports des réseaux publics de distribution d’électricité basse tension et haute tension aériens pour l’établissement d’un réseau de communications électroniques.</w:t>
      </w:r>
    </w:p>
    <w:p w:rsidR="004813A1" w:rsidRPr="0080313A" w:rsidRDefault="004813A1" w:rsidP="0080313A">
      <w:pPr>
        <w:spacing w:after="0" w:line="240" w:lineRule="auto"/>
        <w:jc w:val="both"/>
        <w:rPr>
          <w:b/>
          <w:sz w:val="16"/>
          <w:szCs w:val="18"/>
        </w:rPr>
      </w:pPr>
    </w:p>
    <w:p w:rsidR="004813A1" w:rsidRPr="0080313A" w:rsidRDefault="004813A1" w:rsidP="0080313A">
      <w:pPr>
        <w:spacing w:after="0" w:line="240" w:lineRule="auto"/>
        <w:ind w:left="6946"/>
        <w:rPr>
          <w:sz w:val="16"/>
          <w:szCs w:val="18"/>
        </w:rPr>
      </w:pPr>
      <w:r w:rsidRPr="0080313A">
        <w:rPr>
          <w:sz w:val="16"/>
          <w:szCs w:val="18"/>
        </w:rPr>
        <w:t xml:space="preserve">Le </w:t>
      </w:r>
      <w:r w:rsidR="0080313A" w:rsidRPr="0080313A">
        <w:rPr>
          <w:sz w:val="16"/>
          <w:szCs w:val="18"/>
        </w:rPr>
        <w:t>p</w:t>
      </w:r>
      <w:r w:rsidRPr="0080313A">
        <w:rPr>
          <w:sz w:val="16"/>
          <w:szCs w:val="18"/>
        </w:rPr>
        <w:t>résident,</w:t>
      </w:r>
    </w:p>
    <w:p w:rsidR="004813A1" w:rsidRPr="0080313A" w:rsidRDefault="004813A1" w:rsidP="0080313A">
      <w:pPr>
        <w:spacing w:after="0" w:line="240" w:lineRule="auto"/>
        <w:ind w:left="6946"/>
        <w:rPr>
          <w:sz w:val="16"/>
          <w:szCs w:val="18"/>
        </w:rPr>
      </w:pPr>
    </w:p>
    <w:p w:rsidR="004813A1" w:rsidRPr="0080313A" w:rsidRDefault="004813A1" w:rsidP="0080313A">
      <w:pPr>
        <w:spacing w:after="0" w:line="240" w:lineRule="auto"/>
        <w:ind w:left="6946"/>
        <w:rPr>
          <w:sz w:val="16"/>
          <w:szCs w:val="18"/>
        </w:rPr>
      </w:pPr>
    </w:p>
    <w:p w:rsidR="004813A1" w:rsidRPr="0080313A" w:rsidRDefault="004813A1" w:rsidP="0080313A">
      <w:pPr>
        <w:spacing w:after="0" w:line="240" w:lineRule="auto"/>
        <w:ind w:left="6946"/>
        <w:rPr>
          <w:sz w:val="16"/>
          <w:szCs w:val="18"/>
        </w:rPr>
      </w:pPr>
      <w:r w:rsidRPr="0080313A">
        <w:rPr>
          <w:sz w:val="16"/>
          <w:szCs w:val="18"/>
        </w:rPr>
        <w:t>Jacques GENEST.</w:t>
      </w:r>
    </w:p>
    <w:p w:rsidR="004813A1" w:rsidRPr="0080313A" w:rsidRDefault="004813A1" w:rsidP="0080313A">
      <w:pPr>
        <w:spacing w:after="0" w:line="240" w:lineRule="auto"/>
        <w:rPr>
          <w:sz w:val="16"/>
          <w:szCs w:val="18"/>
        </w:rPr>
      </w:pPr>
    </w:p>
    <w:p w:rsidR="00586BE6" w:rsidRPr="0080313A" w:rsidRDefault="00586BE6" w:rsidP="0080313A">
      <w:pPr>
        <w:jc w:val="both"/>
        <w:rPr>
          <w:sz w:val="16"/>
          <w:szCs w:val="18"/>
        </w:rPr>
      </w:pPr>
      <w:bookmarkStart w:id="0" w:name="_GoBack"/>
      <w:bookmarkEnd w:id="0"/>
    </w:p>
    <w:sectPr w:rsidR="00586BE6" w:rsidRPr="0080313A" w:rsidSect="0080313A">
      <w:pgSz w:w="11906" w:h="16838"/>
      <w:pgMar w:top="568" w:right="424" w:bottom="42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D92" w:rsidRDefault="00434D92" w:rsidP="00434D92">
      <w:pPr>
        <w:spacing w:after="0" w:line="240" w:lineRule="auto"/>
      </w:pPr>
      <w:r>
        <w:separator/>
      </w:r>
    </w:p>
  </w:endnote>
  <w:endnote w:type="continuationSeparator" w:id="0">
    <w:p w:rsidR="00434D92" w:rsidRDefault="00434D92" w:rsidP="00434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Bold">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utiger LT 57 Cn">
    <w:altName w:val="Cambria"/>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D92" w:rsidRDefault="00434D92" w:rsidP="00434D92">
      <w:pPr>
        <w:spacing w:after="0" w:line="240" w:lineRule="auto"/>
      </w:pPr>
      <w:r>
        <w:separator/>
      </w:r>
    </w:p>
  </w:footnote>
  <w:footnote w:type="continuationSeparator" w:id="0">
    <w:p w:rsidR="00434D92" w:rsidRDefault="00434D92" w:rsidP="00434D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DCE668A"/>
    <w:lvl w:ilvl="0">
      <w:start w:val="1"/>
      <w:numFmt w:val="decimal"/>
      <w:pStyle w:val="Titre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Titre4"/>
      <w:lvlText w:val="%1.%2.%3.%4"/>
      <w:lvlJc w:val="left"/>
      <w:pPr>
        <w:tabs>
          <w:tab w:val="num" w:pos="1574"/>
        </w:tabs>
        <w:ind w:left="1574" w:hanging="864"/>
      </w:pPr>
      <w:rPr>
        <w:rFonts w:cs="Times New Roman"/>
      </w:rPr>
    </w:lvl>
    <w:lvl w:ilvl="4">
      <w:start w:val="1"/>
      <w:numFmt w:val="decimal"/>
      <w:suff w:val="space"/>
      <w:lvlText w:val="Annexe %5"/>
      <w:lvlJc w:val="left"/>
      <w:pPr>
        <w:tabs>
          <w:tab w:val="num" w:pos="0"/>
        </w:tabs>
        <w:ind w:left="1008" w:hanging="1008"/>
      </w:pPr>
      <w:rPr>
        <w:rFonts w:cs="Times New Roman"/>
      </w:rPr>
    </w:lvl>
    <w:lvl w:ilvl="5">
      <w:start w:val="1"/>
      <w:numFmt w:val="decimal"/>
      <w:pStyle w:val="Titre6"/>
      <w:lvlText w:val="%6"/>
      <w:lvlJc w:val="left"/>
      <w:pPr>
        <w:tabs>
          <w:tab w:val="num" w:pos="1152"/>
        </w:tabs>
        <w:ind w:left="1152" w:hanging="1152"/>
      </w:pPr>
      <w:rPr>
        <w:rFonts w:cs="Times New Roman"/>
      </w:rPr>
    </w:lvl>
    <w:lvl w:ilvl="6">
      <w:start w:val="1"/>
      <w:numFmt w:val="decimal"/>
      <w:lvlText w:val="%6.%7"/>
      <w:lvlJc w:val="left"/>
      <w:pPr>
        <w:tabs>
          <w:tab w:val="num" w:pos="1296"/>
        </w:tabs>
        <w:ind w:left="1296" w:hanging="1296"/>
      </w:pPr>
      <w:rPr>
        <w:rFonts w:cs="Times New Roman"/>
      </w:rPr>
    </w:lvl>
    <w:lvl w:ilvl="7">
      <w:start w:val="1"/>
      <w:numFmt w:val="decimal"/>
      <w:lvlText w:val="%6.%7.%8"/>
      <w:lvlJc w:val="left"/>
      <w:pPr>
        <w:tabs>
          <w:tab w:val="num" w:pos="1440"/>
        </w:tabs>
        <w:ind w:left="1440" w:hanging="1440"/>
      </w:pPr>
      <w:rPr>
        <w:rFonts w:cs="Times New Roman"/>
      </w:rPr>
    </w:lvl>
    <w:lvl w:ilvl="8">
      <w:start w:val="1"/>
      <w:numFmt w:val="decimal"/>
      <w:lvlText w:val="%6.%7.%8.%9"/>
      <w:lvlJc w:val="left"/>
      <w:pPr>
        <w:tabs>
          <w:tab w:val="num" w:pos="1584"/>
        </w:tabs>
        <w:ind w:left="1584" w:hanging="1584"/>
      </w:pPr>
      <w:rPr>
        <w:rFonts w:cs="Times New Roman"/>
      </w:r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rPr>
    </w:lvl>
  </w:abstractNum>
  <w:abstractNum w:abstractNumId="2">
    <w:nsid w:val="11B45A56"/>
    <w:multiLevelType w:val="hybridMultilevel"/>
    <w:tmpl w:val="D3588126"/>
    <w:lvl w:ilvl="0" w:tplc="00000010">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35A753E"/>
    <w:multiLevelType w:val="hybridMultilevel"/>
    <w:tmpl w:val="5508A9B0"/>
    <w:lvl w:ilvl="0" w:tplc="66C8701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9E2794F"/>
    <w:multiLevelType w:val="hybridMultilevel"/>
    <w:tmpl w:val="4E78A1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3303D37"/>
    <w:multiLevelType w:val="hybridMultilevel"/>
    <w:tmpl w:val="36CEE4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3A1"/>
    <w:rsid w:val="00425343"/>
    <w:rsid w:val="00434D92"/>
    <w:rsid w:val="004813A1"/>
    <w:rsid w:val="00586BE6"/>
    <w:rsid w:val="0064041F"/>
    <w:rsid w:val="008031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aliases w:val="Titre 1 CS,Section,Chapitre,Chapitre 1"/>
    <w:basedOn w:val="Normal"/>
    <w:next w:val="Normal"/>
    <w:link w:val="Titre1Car"/>
    <w:autoRedefine/>
    <w:qFormat/>
    <w:rsid w:val="0064041F"/>
    <w:pPr>
      <w:keepNext/>
      <w:numPr>
        <w:numId w:val="4"/>
      </w:numPr>
      <w:suppressAutoHyphens/>
      <w:spacing w:before="480" w:after="120" w:line="240" w:lineRule="auto"/>
      <w:jc w:val="both"/>
      <w:outlineLvl w:val="0"/>
    </w:pPr>
    <w:rPr>
      <w:rFonts w:ascii="Frutiger Bold" w:eastAsia="Times New Roman" w:hAnsi="Frutiger Bold" w:cs="Times New Roman"/>
      <w:b/>
      <w:bCs/>
      <w:caps/>
      <w:sz w:val="24"/>
      <w:szCs w:val="36"/>
      <w:u w:val="single"/>
      <w:lang w:eastAsia="fr-FR"/>
    </w:rPr>
  </w:style>
  <w:style w:type="paragraph" w:styleId="Titre2">
    <w:name w:val="heading 2"/>
    <w:aliases w:val="Titre 2 CS,WTitre 2,T2,S/ Chapitre"/>
    <w:basedOn w:val="Titre1"/>
    <w:next w:val="Normal"/>
    <w:link w:val="Titre2Car"/>
    <w:autoRedefine/>
    <w:qFormat/>
    <w:rsid w:val="0064041F"/>
    <w:pPr>
      <w:keepLines/>
      <w:numPr>
        <w:numId w:val="0"/>
      </w:numPr>
      <w:spacing w:before="360"/>
      <w:outlineLvl w:val="1"/>
    </w:pPr>
    <w:rPr>
      <w:caps w:val="0"/>
      <w:smallCaps/>
      <w:sz w:val="22"/>
      <w:szCs w:val="32"/>
    </w:rPr>
  </w:style>
  <w:style w:type="paragraph" w:styleId="Titre3">
    <w:name w:val="heading 3"/>
    <w:basedOn w:val="Normal"/>
    <w:next w:val="Normal"/>
    <w:link w:val="Titre3Car"/>
    <w:uiPriority w:val="9"/>
    <w:semiHidden/>
    <w:unhideWhenUsed/>
    <w:qFormat/>
    <w:rsid w:val="0064041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Titre 4 CS"/>
    <w:basedOn w:val="Titre3"/>
    <w:next w:val="Normal"/>
    <w:link w:val="Titre4Car"/>
    <w:autoRedefine/>
    <w:qFormat/>
    <w:rsid w:val="0064041F"/>
    <w:pPr>
      <w:keepLines w:val="0"/>
      <w:numPr>
        <w:ilvl w:val="3"/>
        <w:numId w:val="4"/>
      </w:numPr>
      <w:suppressAutoHyphens/>
      <w:overflowPunct w:val="0"/>
      <w:autoSpaceDE w:val="0"/>
      <w:spacing w:before="240" w:after="240" w:line="240" w:lineRule="auto"/>
      <w:jc w:val="both"/>
      <w:textAlignment w:val="baseline"/>
      <w:outlineLvl w:val="3"/>
    </w:pPr>
    <w:rPr>
      <w:rFonts w:ascii="Frutiger Bold" w:eastAsia="Times New Roman" w:hAnsi="Frutiger Bold" w:cs="Times New Roman"/>
      <w:i/>
      <w:iCs/>
      <w:noProof/>
      <w:color w:val="auto"/>
      <w:sz w:val="20"/>
      <w:szCs w:val="24"/>
      <w:u w:val="single"/>
      <w:lang w:eastAsia="fr-FR"/>
    </w:rPr>
  </w:style>
  <w:style w:type="paragraph" w:styleId="Titre6">
    <w:name w:val="heading 6"/>
    <w:aliases w:val="Annexe T1,Titre 6 CS"/>
    <w:basedOn w:val="Titre1"/>
    <w:next w:val="Normal"/>
    <w:link w:val="Titre6Car"/>
    <w:autoRedefine/>
    <w:qFormat/>
    <w:rsid w:val="0064041F"/>
    <w:pPr>
      <w:numPr>
        <w:ilvl w:val="5"/>
      </w:numPr>
      <w:ind w:left="425" w:hanging="425"/>
      <w:outlineLvl w:val="5"/>
    </w:pPr>
    <w:rPr>
      <w:bCs w:val="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oc-Titre">
    <w:name w:val="Doc-Titre"/>
    <w:basedOn w:val="Normal"/>
    <w:next w:val="Normal"/>
    <w:autoRedefine/>
    <w:rsid w:val="004813A1"/>
    <w:pPr>
      <w:keepNext/>
      <w:pBdr>
        <w:top w:val="single" w:sz="12" w:space="21" w:color="993366"/>
        <w:left w:val="single" w:sz="12" w:space="12" w:color="993366"/>
        <w:bottom w:val="single" w:sz="12" w:space="21" w:color="993366"/>
        <w:right w:val="single" w:sz="12" w:space="12" w:color="993366"/>
      </w:pBdr>
      <w:spacing w:before="240" w:after="60" w:line="240" w:lineRule="auto"/>
      <w:ind w:left="851" w:right="851"/>
      <w:jc w:val="center"/>
    </w:pPr>
    <w:rPr>
      <w:rFonts w:ascii="Lucida Sans Unicode" w:eastAsia="Times New Roman" w:hAnsi="Lucida Sans Unicode" w:cs="Lucida Sans Unicode"/>
      <w:b/>
      <w:bCs/>
      <w:caps/>
      <w:sz w:val="32"/>
      <w:szCs w:val="20"/>
      <w:lang w:eastAsia="fr-FR"/>
    </w:rPr>
  </w:style>
  <w:style w:type="character" w:styleId="Appelnotedebasdep">
    <w:name w:val="footnote reference"/>
    <w:semiHidden/>
    <w:rsid w:val="00434D92"/>
    <w:rPr>
      <w:rFonts w:cs="Times New Roman"/>
      <w:vertAlign w:val="superscript"/>
    </w:rPr>
  </w:style>
  <w:style w:type="paragraph" w:styleId="Notedebasdepage">
    <w:name w:val="footnote text"/>
    <w:basedOn w:val="Normal"/>
    <w:link w:val="NotedebasdepageCar"/>
    <w:autoRedefine/>
    <w:semiHidden/>
    <w:rsid w:val="00434D92"/>
    <w:pPr>
      <w:spacing w:after="0" w:line="240" w:lineRule="auto"/>
      <w:jc w:val="both"/>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434D92"/>
    <w:rPr>
      <w:rFonts w:ascii="Times New Roman" w:eastAsia="Times New Roman" w:hAnsi="Times New Roman" w:cs="Times New Roman"/>
      <w:szCs w:val="20"/>
      <w:lang w:eastAsia="fr-FR"/>
    </w:rPr>
  </w:style>
  <w:style w:type="character" w:customStyle="1" w:styleId="Titre1Car">
    <w:name w:val="Titre 1 Car"/>
    <w:aliases w:val="Titre 1 CS Car,Section Car,Chapitre Car,Chapitre 1 Car"/>
    <w:basedOn w:val="Policepardfaut"/>
    <w:link w:val="Titre1"/>
    <w:rsid w:val="0064041F"/>
    <w:rPr>
      <w:rFonts w:ascii="Frutiger Bold" w:eastAsia="Times New Roman" w:hAnsi="Frutiger Bold" w:cs="Times New Roman"/>
      <w:b/>
      <w:bCs/>
      <w:caps/>
      <w:sz w:val="24"/>
      <w:szCs w:val="36"/>
      <w:u w:val="single"/>
      <w:lang w:eastAsia="fr-FR"/>
    </w:rPr>
  </w:style>
  <w:style w:type="character" w:customStyle="1" w:styleId="Titre2Car">
    <w:name w:val="Titre 2 Car"/>
    <w:aliases w:val="Titre 2 CS Car,WTitre 2 Car,T2 Car,S/ Chapitre Car"/>
    <w:basedOn w:val="Policepardfaut"/>
    <w:link w:val="Titre2"/>
    <w:rsid w:val="0064041F"/>
    <w:rPr>
      <w:rFonts w:ascii="Frutiger Bold" w:eastAsia="Times New Roman" w:hAnsi="Frutiger Bold" w:cs="Times New Roman"/>
      <w:b/>
      <w:bCs/>
      <w:smallCaps/>
      <w:szCs w:val="32"/>
      <w:u w:val="single"/>
      <w:lang w:eastAsia="fr-FR"/>
    </w:rPr>
  </w:style>
  <w:style w:type="character" w:customStyle="1" w:styleId="Titre4Car">
    <w:name w:val="Titre 4 Car"/>
    <w:aliases w:val="Titre 4 CS Car"/>
    <w:basedOn w:val="Policepardfaut"/>
    <w:link w:val="Titre4"/>
    <w:rsid w:val="0064041F"/>
    <w:rPr>
      <w:rFonts w:ascii="Frutiger Bold" w:eastAsia="Times New Roman" w:hAnsi="Frutiger Bold" w:cs="Times New Roman"/>
      <w:b/>
      <w:bCs/>
      <w:i/>
      <w:iCs/>
      <w:noProof/>
      <w:sz w:val="20"/>
      <w:szCs w:val="24"/>
      <w:u w:val="single"/>
      <w:lang w:eastAsia="fr-FR"/>
    </w:rPr>
  </w:style>
  <w:style w:type="character" w:customStyle="1" w:styleId="Titre6Car">
    <w:name w:val="Titre 6 Car"/>
    <w:aliases w:val="Annexe T1 Car,Titre 6 CS Car"/>
    <w:basedOn w:val="Policepardfaut"/>
    <w:link w:val="Titre6"/>
    <w:rsid w:val="0064041F"/>
    <w:rPr>
      <w:rFonts w:ascii="Frutiger Bold" w:eastAsia="Times New Roman" w:hAnsi="Frutiger Bold" w:cs="Times New Roman"/>
      <w:b/>
      <w:caps/>
      <w:sz w:val="24"/>
      <w:szCs w:val="20"/>
      <w:u w:val="single"/>
      <w:lang w:eastAsia="fr-FR"/>
    </w:rPr>
  </w:style>
  <w:style w:type="paragraph" w:styleId="Paragraphedeliste">
    <w:name w:val="List Paragraph"/>
    <w:basedOn w:val="Normal"/>
    <w:uiPriority w:val="34"/>
    <w:qFormat/>
    <w:rsid w:val="0064041F"/>
    <w:pPr>
      <w:spacing w:after="0" w:line="240" w:lineRule="auto"/>
      <w:ind w:left="720"/>
      <w:contextualSpacing/>
    </w:pPr>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64041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aliases w:val="Titre 1 CS,Section,Chapitre,Chapitre 1"/>
    <w:basedOn w:val="Normal"/>
    <w:next w:val="Normal"/>
    <w:link w:val="Titre1Car"/>
    <w:autoRedefine/>
    <w:qFormat/>
    <w:rsid w:val="0064041F"/>
    <w:pPr>
      <w:keepNext/>
      <w:numPr>
        <w:numId w:val="4"/>
      </w:numPr>
      <w:suppressAutoHyphens/>
      <w:spacing w:before="480" w:after="120" w:line="240" w:lineRule="auto"/>
      <w:jc w:val="both"/>
      <w:outlineLvl w:val="0"/>
    </w:pPr>
    <w:rPr>
      <w:rFonts w:ascii="Frutiger Bold" w:eastAsia="Times New Roman" w:hAnsi="Frutiger Bold" w:cs="Times New Roman"/>
      <w:b/>
      <w:bCs/>
      <w:caps/>
      <w:sz w:val="24"/>
      <w:szCs w:val="36"/>
      <w:u w:val="single"/>
      <w:lang w:eastAsia="fr-FR"/>
    </w:rPr>
  </w:style>
  <w:style w:type="paragraph" w:styleId="Titre2">
    <w:name w:val="heading 2"/>
    <w:aliases w:val="Titre 2 CS,WTitre 2,T2,S/ Chapitre"/>
    <w:basedOn w:val="Titre1"/>
    <w:next w:val="Normal"/>
    <w:link w:val="Titre2Car"/>
    <w:autoRedefine/>
    <w:qFormat/>
    <w:rsid w:val="0064041F"/>
    <w:pPr>
      <w:keepLines/>
      <w:numPr>
        <w:numId w:val="0"/>
      </w:numPr>
      <w:spacing w:before="360"/>
      <w:outlineLvl w:val="1"/>
    </w:pPr>
    <w:rPr>
      <w:caps w:val="0"/>
      <w:smallCaps/>
      <w:sz w:val="22"/>
      <w:szCs w:val="32"/>
    </w:rPr>
  </w:style>
  <w:style w:type="paragraph" w:styleId="Titre3">
    <w:name w:val="heading 3"/>
    <w:basedOn w:val="Normal"/>
    <w:next w:val="Normal"/>
    <w:link w:val="Titre3Car"/>
    <w:uiPriority w:val="9"/>
    <w:semiHidden/>
    <w:unhideWhenUsed/>
    <w:qFormat/>
    <w:rsid w:val="0064041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Titre 4 CS"/>
    <w:basedOn w:val="Titre3"/>
    <w:next w:val="Normal"/>
    <w:link w:val="Titre4Car"/>
    <w:autoRedefine/>
    <w:qFormat/>
    <w:rsid w:val="0064041F"/>
    <w:pPr>
      <w:keepLines w:val="0"/>
      <w:numPr>
        <w:ilvl w:val="3"/>
        <w:numId w:val="4"/>
      </w:numPr>
      <w:suppressAutoHyphens/>
      <w:overflowPunct w:val="0"/>
      <w:autoSpaceDE w:val="0"/>
      <w:spacing w:before="240" w:after="240" w:line="240" w:lineRule="auto"/>
      <w:jc w:val="both"/>
      <w:textAlignment w:val="baseline"/>
      <w:outlineLvl w:val="3"/>
    </w:pPr>
    <w:rPr>
      <w:rFonts w:ascii="Frutiger Bold" w:eastAsia="Times New Roman" w:hAnsi="Frutiger Bold" w:cs="Times New Roman"/>
      <w:i/>
      <w:iCs/>
      <w:noProof/>
      <w:color w:val="auto"/>
      <w:sz w:val="20"/>
      <w:szCs w:val="24"/>
      <w:u w:val="single"/>
      <w:lang w:eastAsia="fr-FR"/>
    </w:rPr>
  </w:style>
  <w:style w:type="paragraph" w:styleId="Titre6">
    <w:name w:val="heading 6"/>
    <w:aliases w:val="Annexe T1,Titre 6 CS"/>
    <w:basedOn w:val="Titre1"/>
    <w:next w:val="Normal"/>
    <w:link w:val="Titre6Car"/>
    <w:autoRedefine/>
    <w:qFormat/>
    <w:rsid w:val="0064041F"/>
    <w:pPr>
      <w:numPr>
        <w:ilvl w:val="5"/>
      </w:numPr>
      <w:ind w:left="425" w:hanging="425"/>
      <w:outlineLvl w:val="5"/>
    </w:pPr>
    <w:rPr>
      <w:bCs w:val="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oc-Titre">
    <w:name w:val="Doc-Titre"/>
    <w:basedOn w:val="Normal"/>
    <w:next w:val="Normal"/>
    <w:autoRedefine/>
    <w:rsid w:val="004813A1"/>
    <w:pPr>
      <w:keepNext/>
      <w:pBdr>
        <w:top w:val="single" w:sz="12" w:space="21" w:color="993366"/>
        <w:left w:val="single" w:sz="12" w:space="12" w:color="993366"/>
        <w:bottom w:val="single" w:sz="12" w:space="21" w:color="993366"/>
        <w:right w:val="single" w:sz="12" w:space="12" w:color="993366"/>
      </w:pBdr>
      <w:spacing w:before="240" w:after="60" w:line="240" w:lineRule="auto"/>
      <w:ind w:left="851" w:right="851"/>
      <w:jc w:val="center"/>
    </w:pPr>
    <w:rPr>
      <w:rFonts w:ascii="Lucida Sans Unicode" w:eastAsia="Times New Roman" w:hAnsi="Lucida Sans Unicode" w:cs="Lucida Sans Unicode"/>
      <w:b/>
      <w:bCs/>
      <w:caps/>
      <w:sz w:val="32"/>
      <w:szCs w:val="20"/>
      <w:lang w:eastAsia="fr-FR"/>
    </w:rPr>
  </w:style>
  <w:style w:type="character" w:styleId="Appelnotedebasdep">
    <w:name w:val="footnote reference"/>
    <w:semiHidden/>
    <w:rsid w:val="00434D92"/>
    <w:rPr>
      <w:rFonts w:cs="Times New Roman"/>
      <w:vertAlign w:val="superscript"/>
    </w:rPr>
  </w:style>
  <w:style w:type="paragraph" w:styleId="Notedebasdepage">
    <w:name w:val="footnote text"/>
    <w:basedOn w:val="Normal"/>
    <w:link w:val="NotedebasdepageCar"/>
    <w:autoRedefine/>
    <w:semiHidden/>
    <w:rsid w:val="00434D92"/>
    <w:pPr>
      <w:spacing w:after="0" w:line="240" w:lineRule="auto"/>
      <w:jc w:val="both"/>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434D92"/>
    <w:rPr>
      <w:rFonts w:ascii="Times New Roman" w:eastAsia="Times New Roman" w:hAnsi="Times New Roman" w:cs="Times New Roman"/>
      <w:szCs w:val="20"/>
      <w:lang w:eastAsia="fr-FR"/>
    </w:rPr>
  </w:style>
  <w:style w:type="character" w:customStyle="1" w:styleId="Titre1Car">
    <w:name w:val="Titre 1 Car"/>
    <w:aliases w:val="Titre 1 CS Car,Section Car,Chapitre Car,Chapitre 1 Car"/>
    <w:basedOn w:val="Policepardfaut"/>
    <w:link w:val="Titre1"/>
    <w:rsid w:val="0064041F"/>
    <w:rPr>
      <w:rFonts w:ascii="Frutiger Bold" w:eastAsia="Times New Roman" w:hAnsi="Frutiger Bold" w:cs="Times New Roman"/>
      <w:b/>
      <w:bCs/>
      <w:caps/>
      <w:sz w:val="24"/>
      <w:szCs w:val="36"/>
      <w:u w:val="single"/>
      <w:lang w:eastAsia="fr-FR"/>
    </w:rPr>
  </w:style>
  <w:style w:type="character" w:customStyle="1" w:styleId="Titre2Car">
    <w:name w:val="Titre 2 Car"/>
    <w:aliases w:val="Titre 2 CS Car,WTitre 2 Car,T2 Car,S/ Chapitre Car"/>
    <w:basedOn w:val="Policepardfaut"/>
    <w:link w:val="Titre2"/>
    <w:rsid w:val="0064041F"/>
    <w:rPr>
      <w:rFonts w:ascii="Frutiger Bold" w:eastAsia="Times New Roman" w:hAnsi="Frutiger Bold" w:cs="Times New Roman"/>
      <w:b/>
      <w:bCs/>
      <w:smallCaps/>
      <w:szCs w:val="32"/>
      <w:u w:val="single"/>
      <w:lang w:eastAsia="fr-FR"/>
    </w:rPr>
  </w:style>
  <w:style w:type="character" w:customStyle="1" w:styleId="Titre4Car">
    <w:name w:val="Titre 4 Car"/>
    <w:aliases w:val="Titre 4 CS Car"/>
    <w:basedOn w:val="Policepardfaut"/>
    <w:link w:val="Titre4"/>
    <w:rsid w:val="0064041F"/>
    <w:rPr>
      <w:rFonts w:ascii="Frutiger Bold" w:eastAsia="Times New Roman" w:hAnsi="Frutiger Bold" w:cs="Times New Roman"/>
      <w:b/>
      <w:bCs/>
      <w:i/>
      <w:iCs/>
      <w:noProof/>
      <w:sz w:val="20"/>
      <w:szCs w:val="24"/>
      <w:u w:val="single"/>
      <w:lang w:eastAsia="fr-FR"/>
    </w:rPr>
  </w:style>
  <w:style w:type="character" w:customStyle="1" w:styleId="Titre6Car">
    <w:name w:val="Titre 6 Car"/>
    <w:aliases w:val="Annexe T1 Car,Titre 6 CS Car"/>
    <w:basedOn w:val="Policepardfaut"/>
    <w:link w:val="Titre6"/>
    <w:rsid w:val="0064041F"/>
    <w:rPr>
      <w:rFonts w:ascii="Frutiger Bold" w:eastAsia="Times New Roman" w:hAnsi="Frutiger Bold" w:cs="Times New Roman"/>
      <w:b/>
      <w:caps/>
      <w:sz w:val="24"/>
      <w:szCs w:val="20"/>
      <w:u w:val="single"/>
      <w:lang w:eastAsia="fr-FR"/>
    </w:rPr>
  </w:style>
  <w:style w:type="paragraph" w:styleId="Paragraphedeliste">
    <w:name w:val="List Paragraph"/>
    <w:basedOn w:val="Normal"/>
    <w:uiPriority w:val="34"/>
    <w:qFormat/>
    <w:rsid w:val="0064041F"/>
    <w:pPr>
      <w:spacing w:after="0" w:line="240" w:lineRule="auto"/>
      <w:ind w:left="720"/>
      <w:contextualSpacing/>
    </w:pPr>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64041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1204</Words>
  <Characters>6628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2</cp:revision>
  <dcterms:created xsi:type="dcterms:W3CDTF">2015-10-27T07:22:00Z</dcterms:created>
  <dcterms:modified xsi:type="dcterms:W3CDTF">2015-11-03T15:26:00Z</dcterms:modified>
</cp:coreProperties>
</file>