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636" w:rsidRPr="00186DC2" w:rsidRDefault="00030636" w:rsidP="00030636">
      <w:pPr>
        <w:keepNext/>
        <w:spacing w:before="240" w:after="60"/>
        <w:jc w:val="center"/>
        <w:outlineLvl w:val="3"/>
        <w:rPr>
          <w:rFonts w:ascii="Frutiger LT 57 Cn" w:hAnsi="Frutiger LT 57 Cn"/>
          <w:b/>
          <w:bCs/>
          <w:sz w:val="20"/>
          <w:szCs w:val="20"/>
          <w:u w:val="single"/>
        </w:rPr>
      </w:pPr>
      <w:r w:rsidRPr="00186DC2">
        <w:rPr>
          <w:rFonts w:ascii="Frutiger LT 57 Cn" w:hAnsi="Frutiger LT 57 Cn"/>
          <w:b/>
          <w:bCs/>
          <w:sz w:val="20"/>
          <w:szCs w:val="20"/>
          <w:u w:val="single"/>
        </w:rPr>
        <w:t>SEANCE DU 09  NOVEMBRE 2015</w:t>
      </w:r>
    </w:p>
    <w:p w:rsidR="00030636" w:rsidRPr="00186DC2" w:rsidRDefault="00030636" w:rsidP="00030636">
      <w:pPr>
        <w:jc w:val="center"/>
        <w:rPr>
          <w:sz w:val="20"/>
          <w:szCs w:val="20"/>
        </w:rPr>
      </w:pPr>
      <w:r w:rsidRPr="00186DC2">
        <w:rPr>
          <w:rFonts w:ascii="Frutiger LT 57 Cn" w:hAnsi="Frutiger LT 57 Cn" w:cs="Arial"/>
          <w:b/>
          <w:bCs/>
          <w:sz w:val="20"/>
          <w:szCs w:val="20"/>
        </w:rPr>
        <w:t>DELIBERATION</w:t>
      </w:r>
    </w:p>
    <w:p w:rsidR="00030636" w:rsidRPr="00186DC2" w:rsidRDefault="00030636" w:rsidP="00030636">
      <w:pPr>
        <w:rPr>
          <w:sz w:val="20"/>
          <w:szCs w:val="20"/>
        </w:rPr>
      </w:pPr>
    </w:p>
    <w:p w:rsidR="00030636" w:rsidRPr="00186DC2" w:rsidRDefault="00030636" w:rsidP="00030636">
      <w:pPr>
        <w:rPr>
          <w:sz w:val="20"/>
          <w:szCs w:val="20"/>
        </w:rPr>
      </w:pPr>
      <w:r w:rsidRPr="00186DC2">
        <w:rPr>
          <w:sz w:val="20"/>
          <w:szCs w:val="20"/>
        </w:rPr>
        <w:t>L’an 2015, le 09 novembre  à 10H00, s’est réuni au siège du SDE07 à PRIVAS, le Comité syndical du SDE, sous la présidence de Monsieur Jacques GENEST.</w:t>
      </w:r>
    </w:p>
    <w:p w:rsidR="00030636" w:rsidRPr="00186DC2" w:rsidRDefault="00030636" w:rsidP="00030636">
      <w:pPr>
        <w:rPr>
          <w:sz w:val="20"/>
          <w:szCs w:val="20"/>
        </w:rPr>
      </w:pPr>
    </w:p>
    <w:p w:rsidR="00030636" w:rsidRPr="00186DC2" w:rsidRDefault="00030636" w:rsidP="00030636">
      <w:pPr>
        <w:rPr>
          <w:sz w:val="20"/>
          <w:szCs w:val="20"/>
        </w:rPr>
      </w:pPr>
      <w:r w:rsidRPr="00186DC2">
        <w:rPr>
          <w:sz w:val="20"/>
          <w:szCs w:val="20"/>
        </w:rPr>
        <w:t xml:space="preserve">Membres convoqués : </w:t>
      </w:r>
    </w:p>
    <w:p w:rsidR="00030636" w:rsidRPr="00186DC2" w:rsidRDefault="00030636" w:rsidP="00030636">
      <w:pPr>
        <w:rPr>
          <w:sz w:val="20"/>
          <w:szCs w:val="20"/>
        </w:rPr>
      </w:pPr>
      <w:r w:rsidRPr="00186DC2">
        <w:rPr>
          <w:sz w:val="20"/>
          <w:szCs w:val="20"/>
        </w:rPr>
        <w:t xml:space="preserve">Membres présents : </w:t>
      </w:r>
    </w:p>
    <w:p w:rsidR="00030636" w:rsidRPr="00186DC2" w:rsidRDefault="00030636" w:rsidP="00030636">
      <w:pPr>
        <w:rPr>
          <w:sz w:val="20"/>
          <w:szCs w:val="20"/>
        </w:rPr>
      </w:pPr>
      <w:r w:rsidRPr="00186DC2">
        <w:rPr>
          <w:sz w:val="20"/>
          <w:szCs w:val="20"/>
        </w:rPr>
        <w:t xml:space="preserve">Membres excusés : </w:t>
      </w:r>
    </w:p>
    <w:p w:rsidR="00030636" w:rsidRPr="00186DC2" w:rsidRDefault="00030636" w:rsidP="00030636">
      <w:pPr>
        <w:rPr>
          <w:sz w:val="20"/>
          <w:szCs w:val="20"/>
        </w:rPr>
      </w:pPr>
      <w:r w:rsidRPr="00186DC2">
        <w:rPr>
          <w:sz w:val="20"/>
          <w:szCs w:val="20"/>
        </w:rPr>
        <w:t xml:space="preserve">Procurations : </w:t>
      </w:r>
    </w:p>
    <w:p w:rsidR="00030636" w:rsidRPr="00186DC2" w:rsidRDefault="00030636" w:rsidP="00030636">
      <w:pPr>
        <w:rPr>
          <w:sz w:val="20"/>
          <w:szCs w:val="20"/>
        </w:rPr>
      </w:pPr>
    </w:p>
    <w:p w:rsidR="00030636" w:rsidRPr="00186DC2" w:rsidRDefault="00030636" w:rsidP="00030636">
      <w:pPr>
        <w:rPr>
          <w:b/>
          <w:sz w:val="20"/>
          <w:szCs w:val="20"/>
        </w:rPr>
      </w:pPr>
      <w:r w:rsidRPr="00186DC2">
        <w:rPr>
          <w:b/>
          <w:sz w:val="20"/>
          <w:szCs w:val="20"/>
          <w:u w:val="single"/>
        </w:rPr>
        <w:t>Objet </w:t>
      </w:r>
      <w:r w:rsidRPr="00186DC2">
        <w:rPr>
          <w:b/>
          <w:sz w:val="20"/>
          <w:szCs w:val="20"/>
        </w:rPr>
        <w:t>: Admission en non</w:t>
      </w:r>
      <w:r w:rsidR="00712824">
        <w:rPr>
          <w:b/>
          <w:sz w:val="20"/>
          <w:szCs w:val="20"/>
        </w:rPr>
        <w:t>-</w:t>
      </w:r>
      <w:bookmarkStart w:id="0" w:name="_GoBack"/>
      <w:bookmarkEnd w:id="0"/>
      <w:r w:rsidRPr="00186DC2">
        <w:rPr>
          <w:b/>
          <w:sz w:val="20"/>
          <w:szCs w:val="20"/>
        </w:rPr>
        <w:t>valeur</w:t>
      </w:r>
    </w:p>
    <w:p w:rsidR="00030636" w:rsidRPr="00186DC2" w:rsidRDefault="00030636" w:rsidP="00030636">
      <w:pPr>
        <w:rPr>
          <w:sz w:val="20"/>
          <w:szCs w:val="20"/>
        </w:rPr>
      </w:pPr>
    </w:p>
    <w:p w:rsidR="00030636" w:rsidRPr="00186DC2" w:rsidRDefault="00030636" w:rsidP="00030636">
      <w:pPr>
        <w:autoSpaceDE w:val="0"/>
        <w:autoSpaceDN w:val="0"/>
        <w:adjustRightInd w:val="0"/>
        <w:jc w:val="both"/>
        <w:rPr>
          <w:rFonts w:cs="Comic Sans MS"/>
          <w:sz w:val="20"/>
          <w:szCs w:val="20"/>
        </w:rPr>
      </w:pPr>
      <w:r w:rsidRPr="00186DC2">
        <w:rPr>
          <w:rFonts w:cs="Comic Sans MS"/>
          <w:sz w:val="20"/>
          <w:szCs w:val="20"/>
        </w:rPr>
        <w:t>Pour mémoire, L’admission en non-valeur concerne :</w:t>
      </w:r>
    </w:p>
    <w:p w:rsidR="00030636" w:rsidRPr="00186DC2" w:rsidRDefault="00030636" w:rsidP="00030636">
      <w:pPr>
        <w:pStyle w:val="Paragraphedeliste"/>
        <w:numPr>
          <w:ilvl w:val="0"/>
          <w:numId w:val="1"/>
        </w:numPr>
        <w:autoSpaceDE w:val="0"/>
        <w:autoSpaceDN w:val="0"/>
        <w:adjustRightInd w:val="0"/>
        <w:jc w:val="both"/>
        <w:rPr>
          <w:rFonts w:cs="Comic Sans MS"/>
          <w:sz w:val="20"/>
          <w:szCs w:val="20"/>
        </w:rPr>
      </w:pPr>
      <w:r w:rsidRPr="00186DC2">
        <w:rPr>
          <w:rFonts w:cs="Comic Sans MS"/>
          <w:sz w:val="20"/>
          <w:szCs w:val="20"/>
        </w:rPr>
        <w:t xml:space="preserve">les créances dont le recouvrement ne peut être effectué pour cause d’insolvabilité ou d’absence des débiteurs. Elle intervient donc après avoir épuisé toutes les possibilités : recours amiable, lettres de rappel, poursuites par voie d’huissier de justice, au vu d’un </w:t>
      </w:r>
      <w:proofErr w:type="spellStart"/>
      <w:r w:rsidRPr="00186DC2">
        <w:rPr>
          <w:rFonts w:cs="Comic Sans MS"/>
          <w:sz w:val="20"/>
          <w:szCs w:val="20"/>
        </w:rPr>
        <w:t>procès verbal</w:t>
      </w:r>
      <w:proofErr w:type="spellEnd"/>
      <w:r w:rsidRPr="00186DC2">
        <w:rPr>
          <w:rFonts w:cs="Comic Sans MS"/>
          <w:sz w:val="20"/>
          <w:szCs w:val="20"/>
        </w:rPr>
        <w:t xml:space="preserve"> de carence de l’huissier.</w:t>
      </w:r>
    </w:p>
    <w:p w:rsidR="00030636" w:rsidRPr="00186DC2" w:rsidRDefault="00030636" w:rsidP="00030636">
      <w:pPr>
        <w:autoSpaceDE w:val="0"/>
        <w:autoSpaceDN w:val="0"/>
        <w:adjustRightInd w:val="0"/>
        <w:jc w:val="both"/>
        <w:rPr>
          <w:rFonts w:cs="Comic Sans MS"/>
          <w:sz w:val="20"/>
          <w:szCs w:val="20"/>
        </w:rPr>
      </w:pPr>
    </w:p>
    <w:p w:rsidR="00030636" w:rsidRPr="00186DC2" w:rsidRDefault="00030636" w:rsidP="00030636">
      <w:pPr>
        <w:pStyle w:val="Paragraphedeliste"/>
        <w:numPr>
          <w:ilvl w:val="0"/>
          <w:numId w:val="1"/>
        </w:numPr>
        <w:autoSpaceDE w:val="0"/>
        <w:autoSpaceDN w:val="0"/>
        <w:adjustRightInd w:val="0"/>
        <w:jc w:val="both"/>
        <w:rPr>
          <w:rFonts w:cs="Comic Sans MS"/>
          <w:sz w:val="20"/>
          <w:szCs w:val="20"/>
        </w:rPr>
      </w:pPr>
      <w:r w:rsidRPr="00186DC2">
        <w:rPr>
          <w:rFonts w:cs="Comic Sans MS"/>
          <w:sz w:val="20"/>
          <w:szCs w:val="20"/>
        </w:rPr>
        <w:t xml:space="preserve">Les créances pour lesquelles l’ordonnateur a refusé d’autoriser par écrit les poursuites en déchargeant ainsi le comptable de toute responsabilité </w:t>
      </w:r>
      <w:proofErr w:type="gramStart"/>
      <w:r w:rsidRPr="00186DC2">
        <w:rPr>
          <w:rFonts w:cs="Comic Sans MS"/>
          <w:sz w:val="20"/>
          <w:szCs w:val="20"/>
        </w:rPr>
        <w:t>( article</w:t>
      </w:r>
      <w:proofErr w:type="gramEnd"/>
      <w:r w:rsidRPr="00186DC2">
        <w:rPr>
          <w:rFonts w:cs="Comic Sans MS"/>
          <w:sz w:val="20"/>
          <w:szCs w:val="20"/>
        </w:rPr>
        <w:t xml:space="preserve"> 46 du décret n° 85-924 du 30 août1985 ). Dans ce cas, le comptable présente immédiatement en non-valeurs les créances concernées.</w:t>
      </w:r>
    </w:p>
    <w:p w:rsidR="00030636" w:rsidRPr="00186DC2" w:rsidRDefault="00030636" w:rsidP="00030636">
      <w:pPr>
        <w:autoSpaceDE w:val="0"/>
        <w:autoSpaceDN w:val="0"/>
        <w:adjustRightInd w:val="0"/>
        <w:jc w:val="both"/>
        <w:rPr>
          <w:rFonts w:cs="Comic Sans MS"/>
          <w:sz w:val="20"/>
          <w:szCs w:val="20"/>
        </w:rPr>
      </w:pPr>
    </w:p>
    <w:p w:rsidR="00030636" w:rsidRPr="00186DC2" w:rsidRDefault="00030636" w:rsidP="006E39B6">
      <w:pPr>
        <w:autoSpaceDE w:val="0"/>
        <w:autoSpaceDN w:val="0"/>
        <w:adjustRightInd w:val="0"/>
        <w:jc w:val="both"/>
        <w:rPr>
          <w:rFonts w:cs="Comic Sans MS"/>
          <w:sz w:val="20"/>
          <w:szCs w:val="20"/>
        </w:rPr>
      </w:pPr>
      <w:r w:rsidRPr="00186DC2">
        <w:rPr>
          <w:rFonts w:cs="Comic Sans MS"/>
          <w:sz w:val="20"/>
          <w:szCs w:val="20"/>
        </w:rPr>
        <w:t>Il s’agit d’un acte à caractère financier et budgétaire, or l’organe compétent dans ce domaine est le conseil syndical.</w:t>
      </w:r>
    </w:p>
    <w:p w:rsidR="00030636" w:rsidRPr="00186DC2" w:rsidRDefault="00030636" w:rsidP="006E39B6">
      <w:pPr>
        <w:autoSpaceDE w:val="0"/>
        <w:autoSpaceDN w:val="0"/>
        <w:adjustRightInd w:val="0"/>
        <w:jc w:val="both"/>
        <w:rPr>
          <w:rFonts w:cs="Comic Sans MS"/>
          <w:sz w:val="20"/>
          <w:szCs w:val="20"/>
        </w:rPr>
      </w:pPr>
      <w:r w:rsidRPr="00186DC2">
        <w:rPr>
          <w:rFonts w:cs="Comic Sans MS"/>
          <w:sz w:val="20"/>
          <w:szCs w:val="20"/>
        </w:rPr>
        <w:t>L’admission en non-valeur va entraîner dans la plupart des cas une modification du budget initial</w:t>
      </w:r>
    </w:p>
    <w:p w:rsidR="00030636" w:rsidRPr="00186DC2" w:rsidRDefault="00030636" w:rsidP="006E39B6">
      <w:pPr>
        <w:autoSpaceDE w:val="0"/>
        <w:autoSpaceDN w:val="0"/>
        <w:adjustRightInd w:val="0"/>
        <w:jc w:val="both"/>
        <w:rPr>
          <w:rFonts w:cs="Comic Sans MS"/>
          <w:sz w:val="20"/>
          <w:szCs w:val="20"/>
        </w:rPr>
      </w:pPr>
      <w:r w:rsidRPr="00186DC2">
        <w:rPr>
          <w:rFonts w:cs="Comic Sans MS"/>
          <w:sz w:val="20"/>
          <w:szCs w:val="20"/>
        </w:rPr>
        <w:t>(</w:t>
      </w:r>
      <w:proofErr w:type="gramStart"/>
      <w:r w:rsidRPr="00186DC2">
        <w:rPr>
          <w:rFonts w:cs="Comic Sans MS"/>
          <w:sz w:val="20"/>
          <w:szCs w:val="20"/>
        </w:rPr>
        <w:t>prélèvement</w:t>
      </w:r>
      <w:proofErr w:type="gramEnd"/>
      <w:r w:rsidRPr="00186DC2">
        <w:rPr>
          <w:rFonts w:cs="Comic Sans MS"/>
          <w:sz w:val="20"/>
          <w:szCs w:val="20"/>
        </w:rPr>
        <w:t xml:space="preserve"> sur fonds de réserve). En outre, une décision budgétaire modificative peut donc s’avérer nécessaire. En effet, dans des jugements de CRC portant sur des créances de produits scolaires, il est indiqué «attendu que l’admission en non-valeur par le conseil syndical…» : le juge des comptes confirme la nécessité d’une délibération du conseil syndical. Sauf décision contraire du juge des comptes, l’admission en non-valeur décharge l’agent comptable de sa responsabilité pécuniaire.</w:t>
      </w:r>
    </w:p>
    <w:p w:rsidR="00030636" w:rsidRPr="00186DC2" w:rsidRDefault="00030636" w:rsidP="006E39B6">
      <w:pPr>
        <w:autoSpaceDE w:val="0"/>
        <w:autoSpaceDN w:val="0"/>
        <w:adjustRightInd w:val="0"/>
        <w:jc w:val="both"/>
        <w:rPr>
          <w:rFonts w:cs="Comic Sans MS"/>
          <w:b/>
          <w:bCs/>
          <w:sz w:val="20"/>
          <w:szCs w:val="20"/>
        </w:rPr>
      </w:pPr>
    </w:p>
    <w:p w:rsidR="00030636" w:rsidRPr="00186DC2" w:rsidRDefault="00030636" w:rsidP="00712824">
      <w:pPr>
        <w:autoSpaceDE w:val="0"/>
        <w:autoSpaceDN w:val="0"/>
        <w:adjustRightInd w:val="0"/>
        <w:jc w:val="both"/>
        <w:rPr>
          <w:rFonts w:cs="Comic Sans MS"/>
          <w:b/>
          <w:bCs/>
          <w:sz w:val="20"/>
          <w:szCs w:val="20"/>
        </w:rPr>
      </w:pPr>
      <w:r w:rsidRPr="00186DC2">
        <w:rPr>
          <w:rFonts w:cs="Comic Sans MS"/>
          <w:b/>
          <w:bCs/>
          <w:sz w:val="20"/>
          <w:szCs w:val="20"/>
        </w:rPr>
        <w:t>L’admission en non-valeur d’une créance a pour résultat d’apurer les prises en charge, elle ne</w:t>
      </w:r>
      <w:r w:rsidR="00712824">
        <w:rPr>
          <w:rFonts w:cs="Comic Sans MS"/>
          <w:b/>
          <w:bCs/>
          <w:sz w:val="20"/>
          <w:szCs w:val="20"/>
        </w:rPr>
        <w:t xml:space="preserve"> </w:t>
      </w:r>
      <w:r w:rsidRPr="00186DC2">
        <w:rPr>
          <w:rFonts w:cs="Comic Sans MS"/>
          <w:b/>
          <w:bCs/>
          <w:sz w:val="20"/>
          <w:szCs w:val="20"/>
        </w:rPr>
        <w:t>libère pas pour autant le redevable, le recouvrement devant être repris si le débiteur revient à</w:t>
      </w:r>
      <w:r w:rsidR="00712824">
        <w:rPr>
          <w:rFonts w:cs="Comic Sans MS"/>
          <w:b/>
          <w:bCs/>
          <w:sz w:val="20"/>
          <w:szCs w:val="20"/>
        </w:rPr>
        <w:t xml:space="preserve"> </w:t>
      </w:r>
      <w:r w:rsidRPr="00186DC2">
        <w:rPr>
          <w:rFonts w:cs="Comic Sans MS"/>
          <w:b/>
          <w:bCs/>
          <w:sz w:val="20"/>
          <w:szCs w:val="20"/>
        </w:rPr>
        <w:t>meilleure fortune.</w:t>
      </w:r>
    </w:p>
    <w:p w:rsidR="00030636" w:rsidRPr="00186DC2" w:rsidRDefault="00030636" w:rsidP="00030636">
      <w:pPr>
        <w:rPr>
          <w:rFonts w:cs="Comic Sans MS"/>
          <w:b/>
          <w:bCs/>
          <w:sz w:val="20"/>
          <w:szCs w:val="20"/>
        </w:rPr>
      </w:pPr>
    </w:p>
    <w:p w:rsidR="00030636" w:rsidRPr="00186DC2" w:rsidRDefault="00030636" w:rsidP="00030636">
      <w:pPr>
        <w:rPr>
          <w:sz w:val="20"/>
          <w:szCs w:val="20"/>
        </w:rPr>
      </w:pPr>
    </w:p>
    <w:p w:rsidR="00030636" w:rsidRPr="00186DC2" w:rsidRDefault="00030636" w:rsidP="00030636">
      <w:pPr>
        <w:jc w:val="both"/>
        <w:rPr>
          <w:sz w:val="20"/>
          <w:szCs w:val="20"/>
        </w:rPr>
      </w:pPr>
      <w:r w:rsidRPr="00186DC2">
        <w:rPr>
          <w:sz w:val="20"/>
          <w:szCs w:val="20"/>
        </w:rPr>
        <w:t>Au titre de l’année 2015, l’inscription budgétaire portait à l’article 654 « Pertes sur créances irrécouvrables » permettra d’apurer les produits ci-dessous :</w:t>
      </w:r>
    </w:p>
    <w:p w:rsidR="00030636" w:rsidRPr="00186DC2" w:rsidRDefault="00030636" w:rsidP="00030636">
      <w:pPr>
        <w:pStyle w:val="Paragraphedeliste"/>
        <w:numPr>
          <w:ilvl w:val="0"/>
          <w:numId w:val="3"/>
        </w:numPr>
        <w:jc w:val="both"/>
        <w:rPr>
          <w:sz w:val="20"/>
          <w:szCs w:val="20"/>
        </w:rPr>
      </w:pPr>
      <w:r w:rsidRPr="00186DC2">
        <w:rPr>
          <w:sz w:val="20"/>
          <w:szCs w:val="20"/>
        </w:rPr>
        <w:t xml:space="preserve">Titre 1030 de 2012 émis à l’ordre de Maître </w:t>
      </w:r>
      <w:proofErr w:type="spellStart"/>
      <w:r w:rsidRPr="00186DC2">
        <w:rPr>
          <w:sz w:val="20"/>
          <w:szCs w:val="20"/>
        </w:rPr>
        <w:t>Grandjea</w:t>
      </w:r>
      <w:proofErr w:type="spellEnd"/>
      <w:r w:rsidRPr="00186DC2">
        <w:rPr>
          <w:sz w:val="20"/>
          <w:szCs w:val="20"/>
        </w:rPr>
        <w:t xml:space="preserve"> pour un montant de </w:t>
      </w:r>
      <w:r w:rsidRPr="00186DC2">
        <w:rPr>
          <w:b/>
          <w:sz w:val="20"/>
          <w:szCs w:val="20"/>
        </w:rPr>
        <w:t>277.35€</w:t>
      </w:r>
      <w:r w:rsidRPr="00186DC2">
        <w:rPr>
          <w:sz w:val="20"/>
          <w:szCs w:val="20"/>
        </w:rPr>
        <w:t xml:space="preserve"> dans le cadre de la chaufferie de Montpezat</w:t>
      </w:r>
    </w:p>
    <w:p w:rsidR="00030636" w:rsidRPr="00186DC2" w:rsidRDefault="00110586" w:rsidP="00030636">
      <w:pPr>
        <w:pStyle w:val="Paragraphedeliste"/>
        <w:numPr>
          <w:ilvl w:val="0"/>
          <w:numId w:val="3"/>
        </w:numPr>
        <w:jc w:val="both"/>
        <w:rPr>
          <w:sz w:val="20"/>
          <w:szCs w:val="20"/>
        </w:rPr>
      </w:pPr>
      <w:r w:rsidRPr="00186DC2">
        <w:rPr>
          <w:sz w:val="20"/>
          <w:szCs w:val="20"/>
        </w:rPr>
        <w:t xml:space="preserve">Titre 618 de 2010 émis à l’ordre de Marielle BANC pour un montant de </w:t>
      </w:r>
      <w:r w:rsidRPr="00186DC2">
        <w:rPr>
          <w:b/>
          <w:sz w:val="20"/>
          <w:szCs w:val="20"/>
        </w:rPr>
        <w:t>5 338€</w:t>
      </w:r>
      <w:r w:rsidRPr="00186DC2">
        <w:rPr>
          <w:sz w:val="20"/>
          <w:szCs w:val="20"/>
        </w:rPr>
        <w:t xml:space="preserve"> pour insuffisance suite à liquidation judiciaire</w:t>
      </w:r>
    </w:p>
    <w:p w:rsidR="00030636" w:rsidRPr="00186DC2" w:rsidRDefault="00030636" w:rsidP="00030636">
      <w:pPr>
        <w:jc w:val="both"/>
        <w:rPr>
          <w:sz w:val="20"/>
          <w:szCs w:val="20"/>
        </w:rPr>
      </w:pPr>
    </w:p>
    <w:p w:rsidR="00030636" w:rsidRPr="00186DC2" w:rsidRDefault="00030636" w:rsidP="00030636">
      <w:pPr>
        <w:jc w:val="both"/>
        <w:rPr>
          <w:sz w:val="20"/>
          <w:szCs w:val="20"/>
        </w:rPr>
      </w:pPr>
      <w:r w:rsidRPr="00186DC2">
        <w:rPr>
          <w:sz w:val="20"/>
          <w:szCs w:val="20"/>
        </w:rPr>
        <w:t>Le Comité syndical,</w:t>
      </w:r>
    </w:p>
    <w:p w:rsidR="00030636" w:rsidRPr="00186DC2" w:rsidRDefault="00030636" w:rsidP="00030636">
      <w:pPr>
        <w:jc w:val="both"/>
        <w:rPr>
          <w:sz w:val="20"/>
          <w:szCs w:val="20"/>
        </w:rPr>
      </w:pPr>
      <w:r w:rsidRPr="00186DC2">
        <w:rPr>
          <w:sz w:val="20"/>
          <w:szCs w:val="20"/>
        </w:rPr>
        <w:t>Après en avoir délibéré et à l’unanimité,</w:t>
      </w:r>
    </w:p>
    <w:p w:rsidR="00030636" w:rsidRPr="00186DC2" w:rsidRDefault="00030636" w:rsidP="00030636">
      <w:pPr>
        <w:jc w:val="both"/>
        <w:rPr>
          <w:sz w:val="20"/>
          <w:szCs w:val="20"/>
        </w:rPr>
      </w:pPr>
    </w:p>
    <w:p w:rsidR="00030636" w:rsidRPr="00186DC2" w:rsidRDefault="00030636" w:rsidP="00030636">
      <w:pPr>
        <w:jc w:val="both"/>
        <w:rPr>
          <w:b/>
          <w:sz w:val="20"/>
          <w:szCs w:val="20"/>
        </w:rPr>
      </w:pPr>
      <w:r w:rsidRPr="00186DC2">
        <w:rPr>
          <w:b/>
          <w:sz w:val="20"/>
          <w:szCs w:val="20"/>
        </w:rPr>
        <w:t xml:space="preserve">- Décide </w:t>
      </w:r>
      <w:r w:rsidR="00110586" w:rsidRPr="00186DC2">
        <w:rPr>
          <w:b/>
          <w:sz w:val="20"/>
          <w:szCs w:val="20"/>
        </w:rPr>
        <w:t>d’autoriser les admissions en non</w:t>
      </w:r>
      <w:r w:rsidR="00712824">
        <w:rPr>
          <w:b/>
          <w:sz w:val="20"/>
          <w:szCs w:val="20"/>
        </w:rPr>
        <w:t>-</w:t>
      </w:r>
      <w:r w:rsidR="00110586" w:rsidRPr="00186DC2">
        <w:rPr>
          <w:b/>
          <w:sz w:val="20"/>
          <w:szCs w:val="20"/>
        </w:rPr>
        <w:t>valeur des 2 créances et à procéder aux écritures nécessaires</w:t>
      </w:r>
      <w:r w:rsidRPr="00186DC2">
        <w:rPr>
          <w:b/>
          <w:sz w:val="20"/>
          <w:szCs w:val="20"/>
        </w:rPr>
        <w:t>.</w:t>
      </w:r>
    </w:p>
    <w:p w:rsidR="00030636" w:rsidRPr="00186DC2" w:rsidRDefault="00030636" w:rsidP="00030636">
      <w:pPr>
        <w:jc w:val="both"/>
        <w:rPr>
          <w:b/>
          <w:sz w:val="20"/>
          <w:szCs w:val="20"/>
        </w:rPr>
      </w:pPr>
    </w:p>
    <w:p w:rsidR="00030636" w:rsidRPr="00186DC2" w:rsidRDefault="00030636" w:rsidP="00030636">
      <w:pPr>
        <w:jc w:val="both"/>
        <w:rPr>
          <w:sz w:val="20"/>
          <w:szCs w:val="20"/>
        </w:rPr>
      </w:pPr>
    </w:p>
    <w:p w:rsidR="00030636" w:rsidRPr="00186DC2" w:rsidRDefault="00186DC2" w:rsidP="00030636">
      <w:pPr>
        <w:ind w:left="3540" w:firstLine="708"/>
        <w:jc w:val="both"/>
        <w:rPr>
          <w:sz w:val="20"/>
          <w:szCs w:val="20"/>
        </w:rPr>
      </w:pPr>
      <w:r>
        <w:rPr>
          <w:sz w:val="20"/>
          <w:szCs w:val="20"/>
        </w:rPr>
        <w:t>Le p</w:t>
      </w:r>
      <w:r w:rsidR="00030636" w:rsidRPr="00186DC2">
        <w:rPr>
          <w:sz w:val="20"/>
          <w:szCs w:val="20"/>
        </w:rPr>
        <w:t>résident,</w:t>
      </w:r>
    </w:p>
    <w:p w:rsidR="00030636" w:rsidRPr="00186DC2" w:rsidRDefault="00030636" w:rsidP="00030636">
      <w:pPr>
        <w:jc w:val="both"/>
        <w:rPr>
          <w:sz w:val="20"/>
          <w:szCs w:val="20"/>
        </w:rPr>
      </w:pPr>
    </w:p>
    <w:p w:rsidR="00030636" w:rsidRPr="00186DC2" w:rsidRDefault="00030636" w:rsidP="00030636">
      <w:pPr>
        <w:jc w:val="both"/>
        <w:rPr>
          <w:sz w:val="20"/>
          <w:szCs w:val="20"/>
        </w:rPr>
      </w:pPr>
    </w:p>
    <w:p w:rsidR="00030636" w:rsidRPr="00186DC2" w:rsidRDefault="00030636" w:rsidP="00030636">
      <w:pPr>
        <w:jc w:val="both"/>
        <w:rPr>
          <w:sz w:val="20"/>
          <w:szCs w:val="20"/>
        </w:rPr>
      </w:pPr>
      <w:r w:rsidRPr="00186DC2">
        <w:rPr>
          <w:sz w:val="20"/>
          <w:szCs w:val="20"/>
        </w:rPr>
        <w:tab/>
      </w:r>
      <w:r w:rsidRPr="00186DC2">
        <w:rPr>
          <w:sz w:val="20"/>
          <w:szCs w:val="20"/>
        </w:rPr>
        <w:tab/>
      </w:r>
      <w:r w:rsidRPr="00186DC2">
        <w:rPr>
          <w:sz w:val="20"/>
          <w:szCs w:val="20"/>
        </w:rPr>
        <w:tab/>
      </w:r>
      <w:r w:rsidRPr="00186DC2">
        <w:rPr>
          <w:sz w:val="20"/>
          <w:szCs w:val="20"/>
        </w:rPr>
        <w:tab/>
      </w:r>
      <w:r w:rsidRPr="00186DC2">
        <w:rPr>
          <w:sz w:val="20"/>
          <w:szCs w:val="20"/>
        </w:rPr>
        <w:tab/>
      </w:r>
      <w:r w:rsidRPr="00186DC2">
        <w:rPr>
          <w:sz w:val="20"/>
          <w:szCs w:val="20"/>
        </w:rPr>
        <w:tab/>
        <w:t>Jacques GENEST.</w:t>
      </w:r>
    </w:p>
    <w:p w:rsidR="00030636" w:rsidRPr="00186DC2" w:rsidRDefault="00030636" w:rsidP="00030636">
      <w:pPr>
        <w:jc w:val="both"/>
        <w:rPr>
          <w:sz w:val="20"/>
          <w:szCs w:val="20"/>
        </w:rPr>
      </w:pPr>
    </w:p>
    <w:p w:rsidR="00030636" w:rsidRPr="00186DC2" w:rsidRDefault="00030636" w:rsidP="00030636">
      <w:pPr>
        <w:rPr>
          <w:sz w:val="20"/>
          <w:szCs w:val="20"/>
        </w:rPr>
      </w:pPr>
    </w:p>
    <w:p w:rsidR="00586BE6" w:rsidRPr="00186DC2" w:rsidRDefault="00586BE6">
      <w:pPr>
        <w:rPr>
          <w:sz w:val="20"/>
          <w:szCs w:val="20"/>
        </w:rPr>
      </w:pPr>
    </w:p>
    <w:sectPr w:rsidR="00586BE6" w:rsidRPr="00186DC2" w:rsidSect="00186DC2">
      <w:pgSz w:w="11906" w:h="16838"/>
      <w:pgMar w:top="568"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utiger LT 57 Cn">
    <w:altName w:val="Cambria"/>
    <w:charset w:val="00"/>
    <w:family w:val="auto"/>
    <w:pitch w:val="variable"/>
    <w:sig w:usb0="00000083"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92EE2"/>
    <w:multiLevelType w:val="hybridMultilevel"/>
    <w:tmpl w:val="A606D5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B283F46"/>
    <w:multiLevelType w:val="hybridMultilevel"/>
    <w:tmpl w:val="C6CE6394"/>
    <w:lvl w:ilvl="0" w:tplc="1D6E8FA2">
      <w:numFmt w:val="bullet"/>
      <w:lvlText w:val="·"/>
      <w:lvlJc w:val="left"/>
      <w:pPr>
        <w:ind w:left="720" w:hanging="360"/>
      </w:pPr>
      <w:rPr>
        <w:rFonts w:ascii="Calibri" w:eastAsiaTheme="minorHAnsi" w:hAnsi="Calibri"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2A570E6"/>
    <w:multiLevelType w:val="hybridMultilevel"/>
    <w:tmpl w:val="C3A2B002"/>
    <w:lvl w:ilvl="0" w:tplc="040C0005">
      <w:start w:val="1"/>
      <w:numFmt w:val="bullet"/>
      <w:lvlText w:val=""/>
      <w:lvlJc w:val="left"/>
      <w:pPr>
        <w:ind w:left="720" w:hanging="360"/>
      </w:pPr>
      <w:rPr>
        <w:rFonts w:ascii="Wingdings" w:hAnsi="Wingdings" w:hint="default"/>
      </w:rPr>
    </w:lvl>
    <w:lvl w:ilvl="1" w:tplc="E93A02D2">
      <w:numFmt w:val="bullet"/>
      <w:lvlText w:val="·"/>
      <w:lvlJc w:val="left"/>
      <w:pPr>
        <w:ind w:left="1440" w:hanging="360"/>
      </w:pPr>
      <w:rPr>
        <w:rFonts w:ascii="Calibri" w:eastAsiaTheme="minorHAnsi" w:hAnsi="Calibri"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636"/>
    <w:rsid w:val="00030636"/>
    <w:rsid w:val="00110586"/>
    <w:rsid w:val="00186DC2"/>
    <w:rsid w:val="00586BE6"/>
    <w:rsid w:val="006E39B6"/>
    <w:rsid w:val="007128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636"/>
    <w:pPr>
      <w:spacing w:after="0" w:line="240" w:lineRule="auto"/>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306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636"/>
    <w:pPr>
      <w:spacing w:after="0" w:line="240" w:lineRule="auto"/>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306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384</Words>
  <Characters>2112</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Magnus_adm</dc:creator>
  <cp:lastModifiedBy>CHANDELLIER Isabelle</cp:lastModifiedBy>
  <cp:revision>4</cp:revision>
  <dcterms:created xsi:type="dcterms:W3CDTF">2015-10-27T06:28:00Z</dcterms:created>
  <dcterms:modified xsi:type="dcterms:W3CDTF">2015-11-03T15:23:00Z</dcterms:modified>
</cp:coreProperties>
</file>