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FA4" w:rsidRPr="000C1D70" w:rsidRDefault="00C43FA4" w:rsidP="00745744">
      <w:pPr>
        <w:jc w:val="center"/>
      </w:pPr>
      <w:r w:rsidRPr="000C1D70">
        <w:rPr>
          <w:noProof/>
          <w:lang w:eastAsia="fr-FR"/>
        </w:rPr>
        <w:drawing>
          <wp:inline distT="0" distB="0" distL="0" distR="0" wp14:anchorId="06729DC3" wp14:editId="761AF52A">
            <wp:extent cx="2708558" cy="600075"/>
            <wp:effectExtent l="0" t="0" r="0" b="0"/>
            <wp:docPr id="1" name="Image 1" descr="http://www.sde07.com/wp-content/themes/syndicat-energies-ardeche/medias/img/syndicat-energies-ardech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de07.com/wp-content/themes/syndicat-energies-ardeche/medias/img/syndicat-energies-ardech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7477" cy="602051"/>
                    </a:xfrm>
                    <a:prstGeom prst="rect">
                      <a:avLst/>
                    </a:prstGeom>
                    <a:noFill/>
                    <a:ln>
                      <a:noFill/>
                    </a:ln>
                  </pic:spPr>
                </pic:pic>
              </a:graphicData>
            </a:graphic>
          </wp:inline>
        </w:drawing>
      </w:r>
    </w:p>
    <w:p w:rsidR="00C43FA4" w:rsidRPr="000C1D70" w:rsidRDefault="00C43FA4"/>
    <w:p w:rsidR="001D46A3" w:rsidRPr="000C1D70" w:rsidRDefault="001D46A3" w:rsidP="001D46A3">
      <w:pPr>
        <w:autoSpaceDE w:val="0"/>
        <w:autoSpaceDN w:val="0"/>
        <w:adjustRightInd w:val="0"/>
        <w:spacing w:after="0" w:line="240" w:lineRule="auto"/>
        <w:jc w:val="center"/>
        <w:rPr>
          <w:rFonts w:cs="Arial"/>
          <w:b/>
          <w:bCs/>
          <w:sz w:val="26"/>
          <w:szCs w:val="26"/>
        </w:rPr>
      </w:pPr>
    </w:p>
    <w:p w:rsidR="001D46A3" w:rsidRPr="000C1D70" w:rsidRDefault="001D46A3" w:rsidP="001D46A3">
      <w:pPr>
        <w:autoSpaceDE w:val="0"/>
        <w:autoSpaceDN w:val="0"/>
        <w:adjustRightInd w:val="0"/>
        <w:spacing w:after="0" w:line="240" w:lineRule="auto"/>
        <w:jc w:val="center"/>
        <w:rPr>
          <w:rFonts w:cs="Arial"/>
          <w:b/>
          <w:bCs/>
          <w:sz w:val="26"/>
          <w:szCs w:val="26"/>
        </w:rPr>
      </w:pPr>
    </w:p>
    <w:p w:rsidR="001D46A3" w:rsidRPr="000C1D70" w:rsidRDefault="001D46A3" w:rsidP="001D46A3">
      <w:pPr>
        <w:autoSpaceDE w:val="0"/>
        <w:autoSpaceDN w:val="0"/>
        <w:adjustRightInd w:val="0"/>
        <w:spacing w:after="0" w:line="240" w:lineRule="auto"/>
        <w:jc w:val="center"/>
        <w:rPr>
          <w:rFonts w:cs="Arial"/>
          <w:b/>
          <w:bCs/>
          <w:sz w:val="28"/>
          <w:szCs w:val="28"/>
        </w:rPr>
      </w:pPr>
    </w:p>
    <w:p w:rsidR="001D46A3" w:rsidRPr="000C1D70" w:rsidRDefault="001D46A3" w:rsidP="001D46A3">
      <w:pPr>
        <w:autoSpaceDE w:val="0"/>
        <w:autoSpaceDN w:val="0"/>
        <w:adjustRightInd w:val="0"/>
        <w:spacing w:after="0" w:line="240" w:lineRule="auto"/>
        <w:jc w:val="center"/>
        <w:rPr>
          <w:rFonts w:cs="Arial"/>
          <w:b/>
          <w:bCs/>
          <w:sz w:val="28"/>
          <w:szCs w:val="28"/>
        </w:rPr>
      </w:pPr>
      <w:r w:rsidRPr="000C1D70">
        <w:rPr>
          <w:rFonts w:cs="Arial"/>
          <w:b/>
          <w:bCs/>
          <w:sz w:val="28"/>
          <w:szCs w:val="28"/>
        </w:rPr>
        <w:t>CONDITIONS ADMINISTRATIVES, TECHNIQUES ET FINANCIERES D’EXERCICE DE LA COMPETENCE</w:t>
      </w:r>
    </w:p>
    <w:p w:rsidR="001D46A3" w:rsidRPr="000C1D70" w:rsidRDefault="001D46A3" w:rsidP="001D46A3">
      <w:pPr>
        <w:autoSpaceDE w:val="0"/>
        <w:autoSpaceDN w:val="0"/>
        <w:adjustRightInd w:val="0"/>
        <w:spacing w:after="0" w:line="240" w:lineRule="auto"/>
        <w:jc w:val="center"/>
        <w:rPr>
          <w:rFonts w:cs="Arial"/>
          <w:b/>
          <w:bCs/>
          <w:sz w:val="26"/>
          <w:szCs w:val="26"/>
        </w:rPr>
      </w:pPr>
    </w:p>
    <w:p w:rsidR="001D46A3" w:rsidRPr="000C1D70" w:rsidRDefault="001D46A3" w:rsidP="001D46A3">
      <w:pPr>
        <w:autoSpaceDE w:val="0"/>
        <w:autoSpaceDN w:val="0"/>
        <w:adjustRightInd w:val="0"/>
        <w:spacing w:after="0" w:line="240" w:lineRule="auto"/>
        <w:jc w:val="center"/>
        <w:rPr>
          <w:rFonts w:cs="Arial"/>
          <w:b/>
          <w:bCs/>
          <w:sz w:val="26"/>
          <w:szCs w:val="26"/>
        </w:rPr>
      </w:pPr>
    </w:p>
    <w:p w:rsidR="001D46A3" w:rsidRPr="000C1D70" w:rsidRDefault="001D46A3" w:rsidP="001D46A3">
      <w:pPr>
        <w:autoSpaceDE w:val="0"/>
        <w:autoSpaceDN w:val="0"/>
        <w:adjustRightInd w:val="0"/>
        <w:spacing w:after="0" w:line="240" w:lineRule="auto"/>
        <w:jc w:val="center"/>
        <w:rPr>
          <w:rFonts w:cs="Arial"/>
          <w:b/>
          <w:bCs/>
          <w:sz w:val="26"/>
          <w:szCs w:val="26"/>
        </w:rPr>
      </w:pPr>
    </w:p>
    <w:p w:rsidR="001D46A3" w:rsidRPr="000C1D70" w:rsidRDefault="001D46A3" w:rsidP="001D46A3">
      <w:pPr>
        <w:autoSpaceDE w:val="0"/>
        <w:autoSpaceDN w:val="0"/>
        <w:adjustRightInd w:val="0"/>
        <w:spacing w:after="0" w:line="240" w:lineRule="auto"/>
        <w:jc w:val="center"/>
        <w:rPr>
          <w:rFonts w:cs="Arial"/>
          <w:b/>
          <w:bCs/>
          <w:sz w:val="26"/>
          <w:szCs w:val="26"/>
        </w:rPr>
      </w:pPr>
    </w:p>
    <w:p w:rsidR="00153CD9" w:rsidRPr="000C1D70" w:rsidRDefault="00153CD9" w:rsidP="00153CD9">
      <w:pPr>
        <w:autoSpaceDE w:val="0"/>
        <w:autoSpaceDN w:val="0"/>
        <w:adjustRightInd w:val="0"/>
        <w:spacing w:after="0" w:line="240" w:lineRule="auto"/>
        <w:jc w:val="center"/>
        <w:rPr>
          <w:rFonts w:cs="Arial"/>
          <w:b/>
          <w:bCs/>
          <w:sz w:val="24"/>
          <w:szCs w:val="24"/>
        </w:rPr>
      </w:pPr>
      <w:r w:rsidRPr="000C1D70">
        <w:rPr>
          <w:rFonts w:cs="Arial"/>
          <w:b/>
          <w:bCs/>
          <w:sz w:val="24"/>
          <w:szCs w:val="24"/>
        </w:rPr>
        <w:t>COMPETENCE « IRVE : INFRASTRUCTURES DE CHARGE POUR VEHICULES ELECTRIQUES »</w:t>
      </w:r>
    </w:p>
    <w:p w:rsidR="00153CD9" w:rsidRPr="000C1D70" w:rsidRDefault="00153CD9" w:rsidP="00153CD9">
      <w:pPr>
        <w:autoSpaceDE w:val="0"/>
        <w:autoSpaceDN w:val="0"/>
        <w:adjustRightInd w:val="0"/>
        <w:spacing w:after="0" w:line="240" w:lineRule="auto"/>
        <w:jc w:val="center"/>
        <w:rPr>
          <w:rFonts w:cs="Arial"/>
          <w:b/>
          <w:bCs/>
          <w:sz w:val="24"/>
          <w:szCs w:val="24"/>
        </w:rPr>
      </w:pPr>
    </w:p>
    <w:p w:rsidR="00153CD9" w:rsidRPr="000C1D70" w:rsidRDefault="00153CD9" w:rsidP="00153CD9">
      <w:pPr>
        <w:autoSpaceDE w:val="0"/>
        <w:autoSpaceDN w:val="0"/>
        <w:adjustRightInd w:val="0"/>
        <w:spacing w:after="0" w:line="240" w:lineRule="auto"/>
        <w:jc w:val="center"/>
        <w:rPr>
          <w:rFonts w:cs="Arial"/>
          <w:b/>
          <w:bCs/>
          <w:sz w:val="24"/>
          <w:szCs w:val="24"/>
        </w:rPr>
      </w:pPr>
      <w:r w:rsidRPr="000C1D70">
        <w:rPr>
          <w:rFonts w:cs="Arial"/>
          <w:b/>
          <w:bCs/>
          <w:sz w:val="24"/>
          <w:szCs w:val="24"/>
        </w:rPr>
        <w:t>COMPETENCE EXERCEE CONFORMEMENT AUX ARTICLE</w:t>
      </w:r>
      <w:r w:rsidR="001D46A3" w:rsidRPr="000C1D70">
        <w:rPr>
          <w:rFonts w:cs="Arial"/>
          <w:b/>
          <w:bCs/>
          <w:sz w:val="24"/>
          <w:szCs w:val="24"/>
        </w:rPr>
        <w:t>S 4-1-4</w:t>
      </w:r>
      <w:r w:rsidRPr="000C1D70">
        <w:rPr>
          <w:rFonts w:cs="Arial"/>
          <w:b/>
          <w:bCs/>
          <w:sz w:val="24"/>
          <w:szCs w:val="24"/>
        </w:rPr>
        <w:t xml:space="preserve"> DES STATUTS DU </w:t>
      </w:r>
      <w:r w:rsidR="001D46A3" w:rsidRPr="000C1D70">
        <w:rPr>
          <w:rFonts w:cs="Arial"/>
          <w:b/>
          <w:bCs/>
          <w:sz w:val="24"/>
          <w:szCs w:val="24"/>
        </w:rPr>
        <w:t>SDE 07</w:t>
      </w:r>
    </w:p>
    <w:p w:rsidR="00153CD9" w:rsidRPr="000C1D70" w:rsidRDefault="00153CD9" w:rsidP="00153CD9">
      <w:pPr>
        <w:autoSpaceDE w:val="0"/>
        <w:autoSpaceDN w:val="0"/>
        <w:adjustRightInd w:val="0"/>
        <w:spacing w:after="0" w:line="240" w:lineRule="auto"/>
        <w:rPr>
          <w:rFonts w:cs="Arial"/>
          <w:b/>
          <w:bCs/>
          <w:sz w:val="26"/>
          <w:szCs w:val="26"/>
        </w:rPr>
      </w:pPr>
    </w:p>
    <w:p w:rsidR="00153CD9" w:rsidRPr="000C1D70" w:rsidRDefault="00153CD9" w:rsidP="00153CD9">
      <w:pPr>
        <w:autoSpaceDE w:val="0"/>
        <w:autoSpaceDN w:val="0"/>
        <w:adjustRightInd w:val="0"/>
        <w:spacing w:after="0" w:line="240" w:lineRule="auto"/>
        <w:rPr>
          <w:rFonts w:cs="Arial"/>
          <w:b/>
          <w:bCs/>
          <w:sz w:val="26"/>
          <w:szCs w:val="26"/>
        </w:rPr>
      </w:pPr>
    </w:p>
    <w:p w:rsidR="00C43FA4" w:rsidRPr="000C1D70" w:rsidRDefault="00C43FA4"/>
    <w:p w:rsidR="00C43FA4" w:rsidRPr="000C1D70" w:rsidRDefault="00C43FA4"/>
    <w:p w:rsidR="00C43FA4" w:rsidRPr="000C1D70" w:rsidRDefault="00C43FA4"/>
    <w:p w:rsidR="00C43FA4" w:rsidRPr="000C1D70" w:rsidRDefault="00C43FA4"/>
    <w:p w:rsidR="00C43FA4" w:rsidRPr="000C1D70" w:rsidRDefault="00C43FA4"/>
    <w:p w:rsidR="00C43FA4" w:rsidRPr="000C1D70" w:rsidRDefault="00C43FA4"/>
    <w:p w:rsidR="00C43FA4" w:rsidRPr="000C1D70" w:rsidRDefault="00C43FA4"/>
    <w:p w:rsidR="00C43FA4" w:rsidRPr="000C1D70" w:rsidRDefault="00C43FA4"/>
    <w:p w:rsidR="00C43FA4" w:rsidRPr="000C1D70" w:rsidRDefault="00C43FA4"/>
    <w:p w:rsidR="00C43FA4" w:rsidRPr="000C1D70" w:rsidRDefault="00C43FA4"/>
    <w:p w:rsidR="00C43FA4" w:rsidRPr="000C1D70" w:rsidRDefault="00C43FA4">
      <w:bookmarkStart w:id="0" w:name="_GoBack"/>
      <w:bookmarkEnd w:id="0"/>
    </w:p>
    <w:p w:rsidR="00C43FA4" w:rsidRPr="000C1D70" w:rsidRDefault="00C43FA4"/>
    <w:p w:rsidR="00C43FA4" w:rsidRPr="000C1D70" w:rsidRDefault="00C43FA4"/>
    <w:p w:rsidR="00C43FA4" w:rsidRPr="000C1D70" w:rsidRDefault="00C43FA4"/>
    <w:p w:rsidR="00C43FA4" w:rsidRPr="000C1D70" w:rsidRDefault="00C43FA4"/>
    <w:p w:rsidR="00F23438" w:rsidRPr="000C1D70" w:rsidRDefault="00F23438" w:rsidP="00F23438">
      <w:pPr>
        <w:rPr>
          <w:rFonts w:cs="Arial"/>
          <w:sz w:val="28"/>
          <w:szCs w:val="28"/>
        </w:rPr>
        <w:sectPr w:rsidR="00F23438" w:rsidRPr="000C1D70">
          <w:headerReference w:type="even" r:id="rId10"/>
          <w:headerReference w:type="default" r:id="rId11"/>
          <w:footerReference w:type="default" r:id="rId12"/>
          <w:headerReference w:type="first" r:id="rId13"/>
          <w:pgSz w:w="11906" w:h="16838"/>
          <w:pgMar w:top="1417" w:right="1417" w:bottom="1417" w:left="1417" w:header="708" w:footer="708" w:gutter="0"/>
          <w:cols w:space="708"/>
          <w:docGrid w:linePitch="360"/>
        </w:sectPr>
      </w:pPr>
    </w:p>
    <w:p w:rsidR="00F23438" w:rsidRPr="000C1D70" w:rsidRDefault="00F23438" w:rsidP="00F23438">
      <w:pPr>
        <w:jc w:val="center"/>
        <w:rPr>
          <w:rFonts w:cs="Arial"/>
          <w:sz w:val="28"/>
          <w:szCs w:val="28"/>
        </w:rPr>
      </w:pPr>
      <w:r w:rsidRPr="000C1D70">
        <w:rPr>
          <w:rFonts w:cs="Arial"/>
          <w:sz w:val="28"/>
          <w:szCs w:val="28"/>
        </w:rPr>
        <w:lastRenderedPageBreak/>
        <w:t>Sommaire</w:t>
      </w:r>
    </w:p>
    <w:p w:rsidR="00084749" w:rsidRPr="000C1D70" w:rsidRDefault="00084749">
      <w:pPr>
        <w:pStyle w:val="TM1"/>
        <w:tabs>
          <w:tab w:val="right" w:leader="underscore" w:pos="9062"/>
        </w:tabs>
        <w:rPr>
          <w:rFonts w:cs="Arial"/>
          <w:sz w:val="28"/>
          <w:szCs w:val="28"/>
        </w:rPr>
      </w:pPr>
    </w:p>
    <w:p w:rsidR="00084749" w:rsidRPr="000C1D70" w:rsidRDefault="00084749">
      <w:pPr>
        <w:pStyle w:val="TM1"/>
        <w:tabs>
          <w:tab w:val="right" w:leader="underscore" w:pos="9062"/>
        </w:tabs>
        <w:rPr>
          <w:rFonts w:eastAsiaTheme="minorEastAsia" w:cs="Arial"/>
          <w:b w:val="0"/>
          <w:bCs w:val="0"/>
          <w:caps w:val="0"/>
          <w:noProof/>
          <w:lang w:eastAsia="fr-FR"/>
        </w:rPr>
      </w:pPr>
      <w:r w:rsidRPr="000C1D70">
        <w:rPr>
          <w:rFonts w:cs="Arial"/>
          <w:sz w:val="28"/>
          <w:szCs w:val="28"/>
        </w:rPr>
        <w:fldChar w:fldCharType="begin"/>
      </w:r>
      <w:r w:rsidRPr="000C1D70">
        <w:rPr>
          <w:rFonts w:cs="Arial"/>
          <w:sz w:val="28"/>
          <w:szCs w:val="28"/>
        </w:rPr>
        <w:instrText xml:space="preserve"> TOC \h \z \t "Reglement_Chapitre;1;Reglement_titre;2" </w:instrText>
      </w:r>
      <w:r w:rsidRPr="000C1D70">
        <w:rPr>
          <w:rFonts w:cs="Arial"/>
          <w:sz w:val="28"/>
          <w:szCs w:val="28"/>
        </w:rPr>
        <w:fldChar w:fldCharType="separate"/>
      </w:r>
      <w:hyperlink w:anchor="_Toc431460259" w:history="1">
        <w:r w:rsidRPr="000C1D70">
          <w:rPr>
            <w:rStyle w:val="Lienhypertexte"/>
            <w:rFonts w:cs="Arial"/>
            <w:noProof/>
          </w:rPr>
          <w:t>Préambule</w:t>
        </w:r>
        <w:r w:rsidRPr="000C1D70">
          <w:rPr>
            <w:rFonts w:cs="Arial"/>
            <w:noProof/>
            <w:webHidden/>
          </w:rPr>
          <w:tab/>
        </w:r>
        <w:r w:rsidRPr="000C1D70">
          <w:rPr>
            <w:rFonts w:cs="Arial"/>
            <w:noProof/>
            <w:webHidden/>
          </w:rPr>
          <w:fldChar w:fldCharType="begin"/>
        </w:r>
        <w:r w:rsidRPr="000C1D70">
          <w:rPr>
            <w:rFonts w:cs="Arial"/>
            <w:noProof/>
            <w:webHidden/>
          </w:rPr>
          <w:instrText xml:space="preserve"> PAGEREF _Toc431460259 \h </w:instrText>
        </w:r>
        <w:r w:rsidRPr="000C1D70">
          <w:rPr>
            <w:rFonts w:cs="Arial"/>
            <w:noProof/>
            <w:webHidden/>
          </w:rPr>
        </w:r>
        <w:r w:rsidRPr="000C1D70">
          <w:rPr>
            <w:rFonts w:cs="Arial"/>
            <w:noProof/>
            <w:webHidden/>
          </w:rPr>
          <w:fldChar w:fldCharType="separate"/>
        </w:r>
        <w:r w:rsidR="009C7C64" w:rsidRPr="000C1D70">
          <w:rPr>
            <w:rFonts w:cs="Arial"/>
            <w:noProof/>
            <w:webHidden/>
          </w:rPr>
          <w:t>3</w:t>
        </w:r>
        <w:r w:rsidRPr="000C1D70">
          <w:rPr>
            <w:rFonts w:cs="Arial"/>
            <w:noProof/>
            <w:webHidden/>
          </w:rPr>
          <w:fldChar w:fldCharType="end"/>
        </w:r>
      </w:hyperlink>
    </w:p>
    <w:p w:rsidR="00084749" w:rsidRPr="000C1D70" w:rsidRDefault="000C1D70">
      <w:pPr>
        <w:pStyle w:val="TM1"/>
        <w:tabs>
          <w:tab w:val="right" w:leader="underscore" w:pos="9062"/>
        </w:tabs>
        <w:rPr>
          <w:rFonts w:eastAsiaTheme="minorEastAsia" w:cs="Arial"/>
          <w:b w:val="0"/>
          <w:bCs w:val="0"/>
          <w:caps w:val="0"/>
          <w:noProof/>
          <w:lang w:eastAsia="fr-FR"/>
        </w:rPr>
      </w:pPr>
      <w:hyperlink w:anchor="_Toc431460260" w:history="1">
        <w:r w:rsidR="00084749" w:rsidRPr="000C1D70">
          <w:rPr>
            <w:rStyle w:val="Lienhypertexte"/>
            <w:rFonts w:cs="Arial"/>
            <w:noProof/>
          </w:rPr>
          <w:t>CHAPITRE 1 – DISPOSITIONS GENERALES</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_Toc431460260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4</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61" w:history="1">
        <w:r w:rsidR="00084749" w:rsidRPr="000C1D70">
          <w:rPr>
            <w:rStyle w:val="Lienhypertexte"/>
            <w:rFonts w:cs="Arial"/>
            <w:noProof/>
          </w:rPr>
          <w:t>1.1. Objet</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_Toc431460261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4</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62" w:history="1">
        <w:r w:rsidR="00084749" w:rsidRPr="000C1D70">
          <w:rPr>
            <w:rStyle w:val="Lienhypertexte"/>
            <w:rFonts w:cs="Arial"/>
            <w:noProof/>
          </w:rPr>
          <w:t>1.2. Consistance de la compétence</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_Toc431460262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4</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63" w:history="1">
        <w:r w:rsidR="00084749" w:rsidRPr="000C1D70">
          <w:rPr>
            <w:rStyle w:val="Lienhypertexte"/>
            <w:rFonts w:cs="Arial"/>
            <w:noProof/>
          </w:rPr>
          <w:t>1.3. Modalités et conditions de transfert et reprise de la compétence</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_Toc431460263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4</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64" w:history="1">
        <w:r w:rsidR="00084749" w:rsidRPr="000C1D70">
          <w:rPr>
            <w:rStyle w:val="Lienhypertexte"/>
            <w:rFonts w:cs="Arial"/>
            <w:noProof/>
          </w:rPr>
          <w:t>1.4. Patrimoine existant et projets de création d’infrastructures de charge sous maîtrise d’ouvrage d’un tiers</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_Toc431460264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5</w:t>
        </w:r>
        <w:r w:rsidR="00084749" w:rsidRPr="000C1D70">
          <w:rPr>
            <w:rFonts w:cs="Arial"/>
            <w:noProof/>
            <w:webHidden/>
          </w:rPr>
          <w:fldChar w:fldCharType="end"/>
        </w:r>
      </w:hyperlink>
    </w:p>
    <w:p w:rsidR="00084749" w:rsidRPr="000C1D70" w:rsidRDefault="000C1D70">
      <w:pPr>
        <w:pStyle w:val="TM1"/>
        <w:tabs>
          <w:tab w:val="right" w:leader="underscore" w:pos="9062"/>
        </w:tabs>
        <w:rPr>
          <w:rFonts w:eastAsiaTheme="minorEastAsia" w:cs="Arial"/>
          <w:b w:val="0"/>
          <w:bCs w:val="0"/>
          <w:caps w:val="0"/>
          <w:noProof/>
          <w:lang w:eastAsia="fr-FR"/>
        </w:rPr>
      </w:pPr>
      <w:hyperlink w:anchor="_Toc431460265" w:history="1">
        <w:r w:rsidR="00084749" w:rsidRPr="000C1D70">
          <w:rPr>
            <w:rStyle w:val="Lienhypertexte"/>
            <w:rFonts w:cs="Arial"/>
            <w:noProof/>
          </w:rPr>
          <w:t>CHAPITRE 2 – CREATION DES INFRASTRUCTURES DE CHARGE</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_Toc431460265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6</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66" w:history="1">
        <w:r w:rsidR="00084749" w:rsidRPr="000C1D70">
          <w:rPr>
            <w:rStyle w:val="Lienhypertexte"/>
            <w:rFonts w:cs="Arial"/>
            <w:noProof/>
          </w:rPr>
          <w:t>2.1 Travaux d’investissement</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_Toc431460266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6</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67" w:history="1">
        <w:r w:rsidR="00084749" w:rsidRPr="000C1D70">
          <w:rPr>
            <w:rStyle w:val="Lienhypertexte"/>
            <w:rFonts w:cs="Arial"/>
            <w:noProof/>
          </w:rPr>
          <w:t>2.2 Mise à disposition du domaine public ou privé communal</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_Toc431460267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6</w:t>
        </w:r>
        <w:r w:rsidR="00084749" w:rsidRPr="000C1D70">
          <w:rPr>
            <w:rFonts w:cs="Arial"/>
            <w:noProof/>
            <w:webHidden/>
          </w:rPr>
          <w:fldChar w:fldCharType="end"/>
        </w:r>
      </w:hyperlink>
    </w:p>
    <w:p w:rsidR="00084749" w:rsidRPr="000C1D70" w:rsidRDefault="000C1D70">
      <w:pPr>
        <w:pStyle w:val="TM1"/>
        <w:tabs>
          <w:tab w:val="right" w:leader="underscore" w:pos="9062"/>
        </w:tabs>
        <w:rPr>
          <w:rFonts w:eastAsiaTheme="minorEastAsia" w:cs="Arial"/>
          <w:b w:val="0"/>
          <w:bCs w:val="0"/>
          <w:caps w:val="0"/>
          <w:noProof/>
          <w:lang w:eastAsia="fr-FR"/>
        </w:rPr>
      </w:pPr>
      <w:hyperlink w:anchor="_Toc431460268" w:history="1">
        <w:r w:rsidR="00084749" w:rsidRPr="000C1D70">
          <w:rPr>
            <w:rStyle w:val="Lienhypertexte"/>
            <w:rFonts w:cs="Arial"/>
            <w:noProof/>
          </w:rPr>
          <w:t>CHAPITRE 3 – ENTRETIEN DES INFRASTRUCTURES DE CHARGE</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_Toc431460268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7</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69" w:history="1">
        <w:r w:rsidR="00084749" w:rsidRPr="000C1D70">
          <w:rPr>
            <w:rStyle w:val="Lienhypertexte"/>
            <w:rFonts w:cs="Arial"/>
            <w:noProof/>
          </w:rPr>
          <w:t>3.1 Etendue des prestations d’entretien</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_Toc431460269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7</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70" w:history="1">
        <w:r w:rsidR="00084749" w:rsidRPr="000C1D70">
          <w:rPr>
            <w:rStyle w:val="Lienhypertexte"/>
            <w:rFonts w:cs="Arial"/>
            <w:noProof/>
          </w:rPr>
          <w:t>3.2 Dépannage et réparation</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_Toc431460270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7</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71" w:history="1">
        <w:r w:rsidR="00084749" w:rsidRPr="000C1D70">
          <w:rPr>
            <w:rStyle w:val="Lienhypertexte"/>
            <w:rFonts w:cs="Arial"/>
            <w:noProof/>
          </w:rPr>
          <w:t>3.3 Autres opérations de maintenance et d’entretien</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_Toc431460271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7</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72" w:history="1">
        <w:r w:rsidR="00084749" w:rsidRPr="000C1D70">
          <w:rPr>
            <w:rStyle w:val="Lienhypertexte"/>
            <w:rFonts w:cs="Arial"/>
            <w:noProof/>
          </w:rPr>
          <w:t>3.4 Dommages causés aux infrastructures</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_Toc431460272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8</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73" w:history="1">
        <w:r w:rsidR="00084749" w:rsidRPr="000C1D70">
          <w:rPr>
            <w:rStyle w:val="Lienhypertexte"/>
            <w:rFonts w:cs="Arial"/>
            <w:noProof/>
          </w:rPr>
          <w:t>3.5 Cartographie et suivi du patrimoine</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_Toc431460273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8</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74" w:history="1">
        <w:r w:rsidR="00084749" w:rsidRPr="000C1D70">
          <w:rPr>
            <w:rStyle w:val="Lienhypertexte"/>
            <w:rFonts w:cs="Arial"/>
            <w:noProof/>
          </w:rPr>
          <w:t>3.6 Déplacement d’ouvrages</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_Toc431460274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8</w:t>
        </w:r>
        <w:r w:rsidR="00084749" w:rsidRPr="000C1D70">
          <w:rPr>
            <w:rFonts w:cs="Arial"/>
            <w:noProof/>
            <w:webHidden/>
          </w:rPr>
          <w:fldChar w:fldCharType="end"/>
        </w:r>
      </w:hyperlink>
    </w:p>
    <w:p w:rsidR="00084749" w:rsidRPr="000C1D70" w:rsidRDefault="000C1D70">
      <w:pPr>
        <w:pStyle w:val="TM1"/>
        <w:tabs>
          <w:tab w:val="right" w:leader="underscore" w:pos="9062"/>
        </w:tabs>
        <w:rPr>
          <w:rFonts w:eastAsiaTheme="minorEastAsia" w:cs="Arial"/>
          <w:b w:val="0"/>
          <w:bCs w:val="0"/>
          <w:caps w:val="0"/>
          <w:noProof/>
          <w:lang w:eastAsia="fr-FR"/>
        </w:rPr>
      </w:pPr>
      <w:hyperlink w:anchor="_Toc431460275" w:history="1">
        <w:r w:rsidR="00084749" w:rsidRPr="000C1D70">
          <w:rPr>
            <w:rStyle w:val="Lienhypertexte"/>
            <w:rFonts w:cs="Arial"/>
            <w:noProof/>
          </w:rPr>
          <w:t>CHAPITRE 4 – GESTION DES INFRASTRUCTURES DE CHARGE</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_Toc431460275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9</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76" w:history="1">
        <w:r w:rsidR="00084749" w:rsidRPr="000C1D70">
          <w:rPr>
            <w:rStyle w:val="Lienhypertexte"/>
            <w:rFonts w:cs="Arial"/>
            <w:noProof/>
          </w:rPr>
          <w:t>4.1 L’accès aux infrastructures de charge</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_Toc431460276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9</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77" w:history="1">
        <w:r w:rsidR="00084749" w:rsidRPr="000C1D70">
          <w:rPr>
            <w:rStyle w:val="Lienhypertexte"/>
            <w:rFonts w:cs="Arial"/>
            <w:noProof/>
          </w:rPr>
          <w:t>4.2 Le stationnement</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_Toc431460277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9</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78" w:history="1">
        <w:r w:rsidR="00084749" w:rsidRPr="000C1D70">
          <w:rPr>
            <w:rStyle w:val="Lienhypertexte"/>
            <w:rFonts w:cs="Arial"/>
            <w:noProof/>
          </w:rPr>
          <w:t>4.3 La supervision des infrastructures de charge</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_Toc431460278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9</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79" w:history="1">
        <w:r w:rsidR="00084749" w:rsidRPr="000C1D70">
          <w:rPr>
            <w:rStyle w:val="Lienhypertexte"/>
            <w:rFonts w:cs="Arial"/>
            <w:noProof/>
          </w:rPr>
          <w:t>4.4 La fourniture d’électricité</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_Toc431460279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9</w:t>
        </w:r>
        <w:r w:rsidR="00084749" w:rsidRPr="000C1D70">
          <w:rPr>
            <w:rFonts w:cs="Arial"/>
            <w:noProof/>
            <w:webHidden/>
          </w:rPr>
          <w:fldChar w:fldCharType="end"/>
        </w:r>
      </w:hyperlink>
    </w:p>
    <w:p w:rsidR="00084749" w:rsidRPr="000C1D70" w:rsidRDefault="000C1D70">
      <w:pPr>
        <w:pStyle w:val="TM1"/>
        <w:tabs>
          <w:tab w:val="right" w:leader="underscore" w:pos="9062"/>
        </w:tabs>
        <w:rPr>
          <w:rFonts w:eastAsiaTheme="minorEastAsia" w:cs="Arial"/>
          <w:b w:val="0"/>
          <w:bCs w:val="0"/>
          <w:caps w:val="0"/>
          <w:noProof/>
          <w:lang w:eastAsia="fr-FR"/>
        </w:rPr>
      </w:pPr>
      <w:hyperlink w:anchor="_Toc431460280" w:history="1">
        <w:r w:rsidR="00084749" w:rsidRPr="000C1D70">
          <w:rPr>
            <w:rStyle w:val="Lienhypertexte"/>
            <w:rFonts w:cs="Arial"/>
            <w:noProof/>
          </w:rPr>
          <w:t>CHAPITRE 5 – FINANCEMENT</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_Toc431460280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10</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81" w:history="1">
        <w:r w:rsidR="00084749" w:rsidRPr="000C1D70">
          <w:rPr>
            <w:rStyle w:val="Lienhypertexte"/>
            <w:rFonts w:cs="Arial"/>
            <w:noProof/>
          </w:rPr>
          <w:t>5.1 Contribution au financement des investissements par la collectivité</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_Toc431460281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10</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82" w:history="1">
        <w:r w:rsidR="00084749" w:rsidRPr="000C1D70">
          <w:rPr>
            <w:rStyle w:val="Lienhypertexte"/>
            <w:rFonts w:cs="Arial"/>
            <w:noProof/>
          </w:rPr>
          <w:t>5.2 Contribution aux charges d’exploitation par les usagers</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_Toc431460282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11</w:t>
        </w:r>
        <w:r w:rsidR="00084749" w:rsidRPr="000C1D70">
          <w:rPr>
            <w:rFonts w:cs="Arial"/>
            <w:noProof/>
            <w:webHidden/>
          </w:rPr>
          <w:fldChar w:fldCharType="end"/>
        </w:r>
      </w:hyperlink>
    </w:p>
    <w:p w:rsidR="00084749" w:rsidRPr="000C1D70" w:rsidRDefault="000C1D70">
      <w:pPr>
        <w:pStyle w:val="TM2"/>
        <w:tabs>
          <w:tab w:val="right" w:leader="underscore" w:pos="9062"/>
        </w:tabs>
        <w:rPr>
          <w:rFonts w:eastAsiaTheme="minorEastAsia" w:cs="Arial"/>
          <w:smallCaps w:val="0"/>
          <w:noProof/>
          <w:lang w:eastAsia="fr-FR"/>
        </w:rPr>
      </w:pPr>
      <w:hyperlink w:anchor="_Toc431460283" w:history="1">
        <w:r w:rsidR="00084749" w:rsidRPr="000C1D70">
          <w:rPr>
            <w:rStyle w:val="Lienhypertexte"/>
            <w:rFonts w:cs="Arial"/>
            <w:noProof/>
          </w:rPr>
          <w:t>5.3 Contribution aux charges d’exploitation par la collectivité</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_Toc431460283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11</w:t>
        </w:r>
        <w:r w:rsidR="00084749" w:rsidRPr="000C1D70">
          <w:rPr>
            <w:rFonts w:cs="Arial"/>
            <w:noProof/>
            <w:webHidden/>
          </w:rPr>
          <w:fldChar w:fldCharType="end"/>
        </w:r>
      </w:hyperlink>
    </w:p>
    <w:p w:rsidR="00084749" w:rsidRPr="000C1D70" w:rsidRDefault="000C1D70">
      <w:pPr>
        <w:pStyle w:val="TM1"/>
        <w:tabs>
          <w:tab w:val="right" w:leader="underscore" w:pos="9062"/>
        </w:tabs>
        <w:rPr>
          <w:rFonts w:eastAsiaTheme="minorEastAsia" w:cs="Arial"/>
          <w:b w:val="0"/>
          <w:bCs w:val="0"/>
          <w:caps w:val="0"/>
          <w:noProof/>
          <w:lang w:eastAsia="fr-FR"/>
        </w:rPr>
      </w:pPr>
      <w:hyperlink w:anchor="_Toc431460284" w:history="1">
        <w:r w:rsidR="00084749" w:rsidRPr="000C1D70">
          <w:rPr>
            <w:rStyle w:val="Lienhypertexte"/>
            <w:rFonts w:cs="Arial"/>
            <w:noProof/>
          </w:rPr>
          <w:t>CHAPITRE 6 – MODIFICATION DU PRESENT DOCUMENT</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_Toc431460284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11</w:t>
        </w:r>
        <w:r w:rsidR="00084749" w:rsidRPr="000C1D70">
          <w:rPr>
            <w:rFonts w:cs="Arial"/>
            <w:noProof/>
            <w:webHidden/>
          </w:rPr>
          <w:fldChar w:fldCharType="end"/>
        </w:r>
      </w:hyperlink>
    </w:p>
    <w:p w:rsidR="00084749" w:rsidRPr="000C1D70" w:rsidRDefault="000C1D70">
      <w:pPr>
        <w:pStyle w:val="TM1"/>
        <w:tabs>
          <w:tab w:val="right" w:leader="underscore" w:pos="9062"/>
        </w:tabs>
        <w:rPr>
          <w:rFonts w:eastAsiaTheme="minorEastAsia" w:cs="Arial"/>
          <w:b w:val="0"/>
          <w:bCs w:val="0"/>
          <w:caps w:val="0"/>
          <w:noProof/>
          <w:lang w:eastAsia="fr-FR"/>
        </w:rPr>
      </w:pPr>
      <w:hyperlink w:anchor="_Toc431460285" w:history="1">
        <w:r w:rsidR="00084749" w:rsidRPr="000C1D70">
          <w:rPr>
            <w:rStyle w:val="Lienhypertexte"/>
            <w:rFonts w:cs="Arial"/>
            <w:noProof/>
          </w:rPr>
          <w:t>CHAPITRE 7 - LEXIQUE</w:t>
        </w:r>
        <w:r w:rsidR="00084749" w:rsidRPr="000C1D70">
          <w:rPr>
            <w:rFonts w:cs="Arial"/>
            <w:noProof/>
            <w:webHidden/>
          </w:rPr>
          <w:tab/>
        </w:r>
        <w:r w:rsidR="00084749" w:rsidRPr="000C1D70">
          <w:rPr>
            <w:rFonts w:cs="Arial"/>
            <w:noProof/>
            <w:webHidden/>
          </w:rPr>
          <w:fldChar w:fldCharType="begin"/>
        </w:r>
        <w:r w:rsidR="00084749" w:rsidRPr="000C1D70">
          <w:rPr>
            <w:rFonts w:cs="Arial"/>
            <w:noProof/>
            <w:webHidden/>
          </w:rPr>
          <w:instrText xml:space="preserve"> PAGEREF _Toc431460285 \h </w:instrText>
        </w:r>
        <w:r w:rsidR="00084749" w:rsidRPr="000C1D70">
          <w:rPr>
            <w:rFonts w:cs="Arial"/>
            <w:noProof/>
            <w:webHidden/>
          </w:rPr>
        </w:r>
        <w:r w:rsidR="00084749" w:rsidRPr="000C1D70">
          <w:rPr>
            <w:rFonts w:cs="Arial"/>
            <w:noProof/>
            <w:webHidden/>
          </w:rPr>
          <w:fldChar w:fldCharType="separate"/>
        </w:r>
        <w:r w:rsidR="009C7C64" w:rsidRPr="000C1D70">
          <w:rPr>
            <w:rFonts w:cs="Arial"/>
            <w:noProof/>
            <w:webHidden/>
          </w:rPr>
          <w:t>11</w:t>
        </w:r>
        <w:r w:rsidR="00084749" w:rsidRPr="000C1D70">
          <w:rPr>
            <w:rFonts w:cs="Arial"/>
            <w:noProof/>
            <w:webHidden/>
          </w:rPr>
          <w:fldChar w:fldCharType="end"/>
        </w:r>
      </w:hyperlink>
    </w:p>
    <w:p w:rsidR="00F23438" w:rsidRPr="000C1D70" w:rsidRDefault="00084749" w:rsidP="00F23438">
      <w:pPr>
        <w:jc w:val="center"/>
        <w:rPr>
          <w:rFonts w:cs="Arial"/>
          <w:sz w:val="28"/>
          <w:szCs w:val="28"/>
        </w:rPr>
      </w:pPr>
      <w:r w:rsidRPr="000C1D70">
        <w:rPr>
          <w:rFonts w:cs="Arial"/>
          <w:sz w:val="28"/>
          <w:szCs w:val="28"/>
        </w:rPr>
        <w:fldChar w:fldCharType="end"/>
      </w:r>
    </w:p>
    <w:p w:rsidR="00F23438" w:rsidRPr="000C1D70" w:rsidRDefault="00F23438" w:rsidP="00F23438">
      <w:pPr>
        <w:jc w:val="center"/>
        <w:rPr>
          <w:rFonts w:cs="Arial"/>
          <w:sz w:val="28"/>
          <w:szCs w:val="28"/>
        </w:rPr>
        <w:sectPr w:rsidR="00F23438" w:rsidRPr="000C1D70">
          <w:headerReference w:type="even" r:id="rId14"/>
          <w:headerReference w:type="default" r:id="rId15"/>
          <w:footerReference w:type="default" r:id="rId16"/>
          <w:headerReference w:type="first" r:id="rId17"/>
          <w:pgSz w:w="11906" w:h="16838"/>
          <w:pgMar w:top="1417" w:right="1417" w:bottom="1417" w:left="1417" w:header="708" w:footer="708" w:gutter="0"/>
          <w:cols w:space="708"/>
          <w:docGrid w:linePitch="360"/>
        </w:sectPr>
      </w:pPr>
    </w:p>
    <w:p w:rsidR="00C43FA4" w:rsidRPr="000C1D70" w:rsidRDefault="00C43FA4" w:rsidP="00F23438">
      <w:pPr>
        <w:pStyle w:val="ReglementChapitre"/>
        <w:rPr>
          <w:rFonts w:asciiTheme="minorHAnsi" w:hAnsiTheme="minorHAnsi"/>
        </w:rPr>
      </w:pPr>
      <w:bookmarkStart w:id="1" w:name="_Toc431460259"/>
      <w:r w:rsidRPr="000C1D70">
        <w:rPr>
          <w:rFonts w:asciiTheme="minorHAnsi" w:hAnsiTheme="minorHAnsi"/>
        </w:rPr>
        <w:lastRenderedPageBreak/>
        <w:t>Préambule</w:t>
      </w:r>
      <w:bookmarkEnd w:id="1"/>
    </w:p>
    <w:p w:rsidR="007377C8" w:rsidRPr="000C1D70" w:rsidRDefault="007377C8" w:rsidP="00C43FA4">
      <w:pPr>
        <w:autoSpaceDE w:val="0"/>
        <w:autoSpaceDN w:val="0"/>
        <w:adjustRightInd w:val="0"/>
        <w:spacing w:after="0" w:line="240" w:lineRule="auto"/>
        <w:jc w:val="both"/>
        <w:rPr>
          <w:rFonts w:cs="Arial"/>
        </w:rPr>
      </w:pPr>
    </w:p>
    <w:p w:rsidR="00C43FA4" w:rsidRPr="000C1D70" w:rsidRDefault="00C43FA4" w:rsidP="00C43FA4">
      <w:pPr>
        <w:autoSpaceDE w:val="0"/>
        <w:autoSpaceDN w:val="0"/>
        <w:adjustRightInd w:val="0"/>
        <w:spacing w:after="0" w:line="240" w:lineRule="auto"/>
        <w:jc w:val="both"/>
        <w:rPr>
          <w:rFonts w:cs="Arial"/>
          <w:highlight w:val="yellow"/>
        </w:rPr>
      </w:pPr>
      <w:r w:rsidRPr="000C1D70">
        <w:rPr>
          <w:rFonts w:cs="Arial"/>
        </w:rPr>
        <w:t xml:space="preserve">Le </w:t>
      </w:r>
      <w:r w:rsidR="005951CE" w:rsidRPr="000C1D70">
        <w:rPr>
          <w:rFonts w:cs="Arial"/>
        </w:rPr>
        <w:t>SDE</w:t>
      </w:r>
      <w:r w:rsidR="00A60AD6" w:rsidRPr="000C1D70">
        <w:rPr>
          <w:rFonts w:cs="Arial"/>
        </w:rPr>
        <w:t xml:space="preserve"> </w:t>
      </w:r>
      <w:r w:rsidRPr="000C1D70">
        <w:rPr>
          <w:rFonts w:cs="Arial"/>
        </w:rPr>
        <w:t xml:space="preserve">07, Syndicat Départemental d’Energies de l’Ardèche, autorité organisatrice de la distribution publique d’électricité, a engagé </w:t>
      </w:r>
      <w:r w:rsidR="00385FFD" w:rsidRPr="000C1D70">
        <w:rPr>
          <w:rFonts w:cs="Arial"/>
        </w:rPr>
        <w:t>en</w:t>
      </w:r>
      <w:r w:rsidRPr="000C1D70">
        <w:rPr>
          <w:rFonts w:cs="Arial"/>
        </w:rPr>
        <w:t xml:space="preserve"> 2014 une réflexion sur le développement des nouveaux usages du réseau de distribution de l’électricité et l’opportunité d’un déploiement de bornes de charge pour véhicules électriques et rechargeables sur le territoire départemental.</w:t>
      </w:r>
    </w:p>
    <w:p w:rsidR="00A60AD6" w:rsidRPr="000C1D70" w:rsidRDefault="00A60AD6" w:rsidP="00C43FA4">
      <w:pPr>
        <w:autoSpaceDE w:val="0"/>
        <w:autoSpaceDN w:val="0"/>
        <w:adjustRightInd w:val="0"/>
        <w:spacing w:after="0" w:line="240" w:lineRule="auto"/>
        <w:jc w:val="both"/>
        <w:rPr>
          <w:rFonts w:cs="Arial"/>
        </w:rPr>
      </w:pPr>
    </w:p>
    <w:p w:rsidR="00C43FA4" w:rsidRPr="000C1D70" w:rsidRDefault="00C43FA4" w:rsidP="00C43FA4">
      <w:pPr>
        <w:autoSpaceDE w:val="0"/>
        <w:autoSpaceDN w:val="0"/>
        <w:adjustRightInd w:val="0"/>
        <w:spacing w:after="0" w:line="240" w:lineRule="auto"/>
        <w:jc w:val="both"/>
        <w:rPr>
          <w:rFonts w:cs="Arial"/>
        </w:rPr>
      </w:pPr>
      <w:r w:rsidRPr="000C1D70">
        <w:rPr>
          <w:rFonts w:cs="Arial"/>
        </w:rPr>
        <w:t>En application de l’article 57 de la loi du 12 juillet 2010 (Grenelle II), codifié à l’article L.2224-</w:t>
      </w:r>
    </w:p>
    <w:p w:rsidR="00C43FA4" w:rsidRPr="000C1D70" w:rsidRDefault="00C43FA4" w:rsidP="00C43FA4">
      <w:pPr>
        <w:autoSpaceDE w:val="0"/>
        <w:autoSpaceDN w:val="0"/>
        <w:adjustRightInd w:val="0"/>
        <w:spacing w:after="0" w:line="240" w:lineRule="auto"/>
        <w:jc w:val="both"/>
        <w:rPr>
          <w:rFonts w:cs="Arial"/>
        </w:rPr>
      </w:pPr>
      <w:r w:rsidRPr="000C1D70">
        <w:rPr>
          <w:rFonts w:cs="Arial"/>
        </w:rPr>
        <w:t>37 du CGCT, cette compétence communale peut être déléguée aux autorités organisatrices de la distribution publique d’électricité.</w:t>
      </w:r>
    </w:p>
    <w:p w:rsidR="00A60AD6" w:rsidRPr="000C1D70" w:rsidRDefault="00A60AD6" w:rsidP="00C43FA4">
      <w:pPr>
        <w:autoSpaceDE w:val="0"/>
        <w:autoSpaceDN w:val="0"/>
        <w:adjustRightInd w:val="0"/>
        <w:spacing w:after="0" w:line="240" w:lineRule="auto"/>
        <w:jc w:val="both"/>
        <w:rPr>
          <w:rFonts w:cs="Arial"/>
        </w:rPr>
      </w:pPr>
    </w:p>
    <w:p w:rsidR="00C43FA4" w:rsidRPr="000C1D70" w:rsidRDefault="00C43FA4" w:rsidP="00C43FA4">
      <w:pPr>
        <w:autoSpaceDE w:val="0"/>
        <w:autoSpaceDN w:val="0"/>
        <w:adjustRightInd w:val="0"/>
        <w:spacing w:after="0" w:line="240" w:lineRule="auto"/>
        <w:jc w:val="both"/>
        <w:rPr>
          <w:rFonts w:cs="Arial"/>
        </w:rPr>
      </w:pPr>
      <w:r w:rsidRPr="000C1D70">
        <w:rPr>
          <w:rFonts w:cs="Arial"/>
        </w:rPr>
        <w:t>Le S</w:t>
      </w:r>
      <w:r w:rsidR="005951CE" w:rsidRPr="000C1D70">
        <w:rPr>
          <w:rFonts w:cs="Arial"/>
        </w:rPr>
        <w:t>DE</w:t>
      </w:r>
      <w:r w:rsidR="00A60AD6" w:rsidRPr="000C1D70">
        <w:rPr>
          <w:rFonts w:cs="Arial"/>
        </w:rPr>
        <w:t xml:space="preserve"> </w:t>
      </w:r>
      <w:r w:rsidRPr="000C1D70">
        <w:rPr>
          <w:rFonts w:cs="Arial"/>
        </w:rPr>
        <w:t>07 a mené, courant 2014, une étude à l’échelle départementale, afin d’évaluer l’opportunité et la faisabilité du déploiement d’un réseau de bornes de charge. Dans le cadre de cette étude, le Syndicat a réalisé une enquête exhaustive auprès des collectivités du département, témoignant de l’intérêt de la majorité d’entre elles.</w:t>
      </w:r>
    </w:p>
    <w:p w:rsidR="00A60AD6" w:rsidRPr="000C1D70" w:rsidRDefault="00A60AD6" w:rsidP="00C43FA4">
      <w:pPr>
        <w:autoSpaceDE w:val="0"/>
        <w:autoSpaceDN w:val="0"/>
        <w:adjustRightInd w:val="0"/>
        <w:spacing w:after="0" w:line="240" w:lineRule="auto"/>
        <w:jc w:val="both"/>
        <w:rPr>
          <w:rFonts w:cs="Arial"/>
        </w:rPr>
      </w:pPr>
    </w:p>
    <w:p w:rsidR="00C43FA4" w:rsidRPr="000C1D70" w:rsidRDefault="00C43FA4" w:rsidP="00C43FA4">
      <w:pPr>
        <w:autoSpaceDE w:val="0"/>
        <w:autoSpaceDN w:val="0"/>
        <w:adjustRightInd w:val="0"/>
        <w:spacing w:after="0" w:line="240" w:lineRule="auto"/>
        <w:jc w:val="both"/>
        <w:rPr>
          <w:rFonts w:cs="Arial"/>
        </w:rPr>
      </w:pPr>
      <w:r w:rsidRPr="000C1D70">
        <w:rPr>
          <w:rFonts w:cs="Arial"/>
        </w:rPr>
        <w:t>L’état des lieux réalisé dans le cadre de l’étude a également démontré le potentiel du département en termes d’électromobilité.</w:t>
      </w:r>
    </w:p>
    <w:p w:rsidR="00A60AD6" w:rsidRPr="000C1D70" w:rsidRDefault="00A60AD6" w:rsidP="00C43FA4">
      <w:pPr>
        <w:autoSpaceDE w:val="0"/>
        <w:autoSpaceDN w:val="0"/>
        <w:adjustRightInd w:val="0"/>
        <w:spacing w:after="0" w:line="240" w:lineRule="auto"/>
        <w:jc w:val="both"/>
        <w:rPr>
          <w:rFonts w:cs="Arial"/>
          <w:highlight w:val="yellow"/>
        </w:rPr>
      </w:pPr>
    </w:p>
    <w:p w:rsidR="00C43FA4" w:rsidRPr="000C1D70" w:rsidRDefault="00C43FA4" w:rsidP="00C43FA4">
      <w:pPr>
        <w:autoSpaceDE w:val="0"/>
        <w:autoSpaceDN w:val="0"/>
        <w:adjustRightInd w:val="0"/>
        <w:spacing w:after="0" w:line="240" w:lineRule="auto"/>
        <w:jc w:val="both"/>
        <w:rPr>
          <w:rFonts w:cs="Arial"/>
        </w:rPr>
      </w:pPr>
      <w:r w:rsidRPr="000C1D70">
        <w:rPr>
          <w:rFonts w:cs="Arial"/>
        </w:rPr>
        <w:t>Ce projet a reçu le soutien de l’Etat, dans le cadre du « Dispositif d’aide au déploiement d’infrastructures de charge pour les véhicules hybrides et électriques » opéré par l’ADEME au titre du « Programme des Investissements d’Avenir ».</w:t>
      </w:r>
    </w:p>
    <w:p w:rsidR="00A60AD6" w:rsidRPr="000C1D70" w:rsidRDefault="00A60AD6" w:rsidP="00C43FA4">
      <w:pPr>
        <w:autoSpaceDE w:val="0"/>
        <w:autoSpaceDN w:val="0"/>
        <w:adjustRightInd w:val="0"/>
        <w:spacing w:after="0" w:line="240" w:lineRule="auto"/>
        <w:jc w:val="both"/>
        <w:rPr>
          <w:rFonts w:cs="Arial"/>
        </w:rPr>
      </w:pPr>
    </w:p>
    <w:p w:rsidR="00C43FA4" w:rsidRPr="000C1D70" w:rsidRDefault="00C43FA4" w:rsidP="00C43FA4">
      <w:pPr>
        <w:autoSpaceDE w:val="0"/>
        <w:autoSpaceDN w:val="0"/>
        <w:adjustRightInd w:val="0"/>
        <w:spacing w:after="0" w:line="240" w:lineRule="auto"/>
        <w:jc w:val="both"/>
        <w:rPr>
          <w:rFonts w:cs="Arial"/>
        </w:rPr>
      </w:pPr>
      <w:r w:rsidRPr="000C1D70">
        <w:rPr>
          <w:rFonts w:cs="Arial"/>
        </w:rPr>
        <w:t xml:space="preserve">Ce projet implique la mise en place et l’organisation par le </w:t>
      </w:r>
      <w:r w:rsidR="00A60AD6" w:rsidRPr="000C1D70">
        <w:rPr>
          <w:rFonts w:cs="Arial"/>
        </w:rPr>
        <w:t>SDE 07</w:t>
      </w:r>
      <w:r w:rsidRPr="000C1D70">
        <w:rPr>
          <w:rFonts w:cs="Arial"/>
        </w:rPr>
        <w:t xml:space="preserve"> d’un service comprenant la création, l’entretien et l’exploitation des infrastructures de charge nécessaires à l'usage des véhicules électriques ou hybrides rechargeables.</w:t>
      </w:r>
    </w:p>
    <w:p w:rsidR="00A60AD6" w:rsidRPr="000C1D70" w:rsidRDefault="00A60AD6" w:rsidP="00C43FA4">
      <w:pPr>
        <w:autoSpaceDE w:val="0"/>
        <w:autoSpaceDN w:val="0"/>
        <w:adjustRightInd w:val="0"/>
        <w:spacing w:after="0" w:line="240" w:lineRule="auto"/>
        <w:jc w:val="both"/>
        <w:rPr>
          <w:rFonts w:cs="Arial"/>
          <w:highlight w:val="yellow"/>
        </w:rPr>
      </w:pPr>
    </w:p>
    <w:p w:rsidR="00C43FA4" w:rsidRPr="000C1D70" w:rsidRDefault="00C43FA4" w:rsidP="00C43FA4">
      <w:pPr>
        <w:autoSpaceDE w:val="0"/>
        <w:autoSpaceDN w:val="0"/>
        <w:adjustRightInd w:val="0"/>
        <w:spacing w:after="0" w:line="240" w:lineRule="auto"/>
        <w:jc w:val="both"/>
        <w:rPr>
          <w:rFonts w:cs="Arial"/>
        </w:rPr>
      </w:pPr>
      <w:r w:rsidRPr="000C1D70">
        <w:rPr>
          <w:rFonts w:cs="Arial"/>
        </w:rPr>
        <w:t xml:space="preserve">Pour permettre la mise en œuvre du projet, le </w:t>
      </w:r>
      <w:r w:rsidR="0082533E" w:rsidRPr="000C1D70">
        <w:rPr>
          <w:rFonts w:cs="Arial"/>
        </w:rPr>
        <w:t>SDE 07</w:t>
      </w:r>
      <w:r w:rsidRPr="000C1D70">
        <w:rPr>
          <w:rFonts w:cs="Arial"/>
        </w:rPr>
        <w:t xml:space="preserve"> a procédé à une réforme de ses statuts qui lui donne la capacité d’exercer et d’organiser la compéten</w:t>
      </w:r>
      <w:r w:rsidR="001D46A3" w:rsidRPr="000C1D70">
        <w:rPr>
          <w:rFonts w:cs="Arial"/>
        </w:rPr>
        <w:t xml:space="preserve">ce « IRVE », prévue à l’article </w:t>
      </w:r>
      <w:r w:rsidRPr="000C1D70">
        <w:rPr>
          <w:rFonts w:cs="Arial"/>
          <w:b/>
          <w:bCs/>
        </w:rPr>
        <w:t xml:space="preserve">L. 2224-37 du CGCT </w:t>
      </w:r>
      <w:r w:rsidRPr="000C1D70">
        <w:rPr>
          <w:rFonts w:cs="Arial"/>
        </w:rPr>
        <w:t>portant sur la mise en place d’un service comprenant la création, l’entretien et l’exploitation des infrastructures de charge nécessaires à l'usage des véhicules électriques ou hybrides rechargeables.</w:t>
      </w:r>
    </w:p>
    <w:p w:rsidR="00A60AD6" w:rsidRPr="000C1D70" w:rsidRDefault="00A60AD6" w:rsidP="00C43FA4">
      <w:pPr>
        <w:autoSpaceDE w:val="0"/>
        <w:autoSpaceDN w:val="0"/>
        <w:adjustRightInd w:val="0"/>
        <w:spacing w:after="0" w:line="240" w:lineRule="auto"/>
        <w:jc w:val="both"/>
        <w:rPr>
          <w:rFonts w:cs="Arial"/>
          <w:highlight w:val="yellow"/>
        </w:rPr>
      </w:pPr>
    </w:p>
    <w:p w:rsidR="00C43FA4" w:rsidRPr="000C1D70" w:rsidRDefault="00C43FA4" w:rsidP="00C43FA4">
      <w:pPr>
        <w:autoSpaceDE w:val="0"/>
        <w:autoSpaceDN w:val="0"/>
        <w:adjustRightInd w:val="0"/>
        <w:spacing w:after="0" w:line="240" w:lineRule="auto"/>
        <w:jc w:val="both"/>
        <w:rPr>
          <w:rFonts w:cs="Arial"/>
        </w:rPr>
      </w:pPr>
      <w:r w:rsidRPr="000C1D70">
        <w:rPr>
          <w:rFonts w:cs="Arial"/>
        </w:rPr>
        <w:t xml:space="preserve">Conformément au CGCT, les communes ont le libre choix de transférer cette compétence optionnelle au </w:t>
      </w:r>
      <w:r w:rsidR="001D46A3" w:rsidRPr="000C1D70">
        <w:rPr>
          <w:rFonts w:cs="Arial"/>
        </w:rPr>
        <w:t>SDE 07</w:t>
      </w:r>
      <w:r w:rsidRPr="000C1D70">
        <w:rPr>
          <w:rFonts w:cs="Arial"/>
        </w:rPr>
        <w:t>.</w:t>
      </w:r>
    </w:p>
    <w:p w:rsidR="005951CE" w:rsidRPr="000C1D70" w:rsidRDefault="005951CE" w:rsidP="00C43FA4">
      <w:pPr>
        <w:autoSpaceDE w:val="0"/>
        <w:autoSpaceDN w:val="0"/>
        <w:adjustRightInd w:val="0"/>
        <w:spacing w:after="0" w:line="240" w:lineRule="auto"/>
        <w:jc w:val="both"/>
        <w:rPr>
          <w:rFonts w:cs="Arial"/>
          <w:b/>
        </w:rPr>
      </w:pPr>
    </w:p>
    <w:p w:rsidR="00C43FA4" w:rsidRPr="000C1D70" w:rsidRDefault="00C43FA4" w:rsidP="00C22103">
      <w:pPr>
        <w:pBdr>
          <w:top w:val="single" w:sz="6" w:space="1" w:color="auto"/>
          <w:left w:val="single" w:sz="6" w:space="4" w:color="auto"/>
          <w:bottom w:val="single" w:sz="6" w:space="1" w:color="auto"/>
          <w:right w:val="single" w:sz="6" w:space="4" w:color="auto"/>
        </w:pBdr>
        <w:autoSpaceDE w:val="0"/>
        <w:autoSpaceDN w:val="0"/>
        <w:adjustRightInd w:val="0"/>
        <w:spacing w:after="0" w:line="240" w:lineRule="auto"/>
        <w:jc w:val="both"/>
        <w:rPr>
          <w:rFonts w:cs="Arial"/>
          <w:b/>
        </w:rPr>
      </w:pPr>
      <w:r w:rsidRPr="000C1D70">
        <w:rPr>
          <w:rFonts w:cs="Arial"/>
        </w:rPr>
        <w:t>Afin de préciser les règles qui permettront le bon exercice de la compétence par le SDE 07</w:t>
      </w:r>
      <w:r w:rsidRPr="000C1D70">
        <w:rPr>
          <w:rFonts w:cs="Arial"/>
          <w:bCs/>
        </w:rPr>
        <w:t>,</w:t>
      </w:r>
      <w:r w:rsidRPr="000C1D70">
        <w:rPr>
          <w:rFonts w:cs="Arial"/>
          <w:b/>
          <w:bCs/>
        </w:rPr>
        <w:t xml:space="preserve"> le présent document fixe les conditions administratives, techniques et financières </w:t>
      </w:r>
      <w:r w:rsidRPr="000C1D70">
        <w:rPr>
          <w:rFonts w:cs="Arial"/>
        </w:rPr>
        <w:t>qui</w:t>
      </w:r>
      <w:r w:rsidRPr="000C1D70">
        <w:rPr>
          <w:rFonts w:cs="Arial"/>
          <w:bCs/>
        </w:rPr>
        <w:t xml:space="preserve"> </w:t>
      </w:r>
      <w:r w:rsidRPr="000C1D70">
        <w:rPr>
          <w:rFonts w:cs="Arial"/>
        </w:rPr>
        <w:t>encadrent les relations et les engagements réciproques entre le Syndicat et les collectivités lui</w:t>
      </w:r>
      <w:r w:rsidRPr="000C1D70">
        <w:rPr>
          <w:rFonts w:cs="Arial"/>
          <w:bCs/>
        </w:rPr>
        <w:t xml:space="preserve"> </w:t>
      </w:r>
      <w:r w:rsidRPr="000C1D70">
        <w:rPr>
          <w:rFonts w:cs="Arial"/>
        </w:rPr>
        <w:t>ayant transféré la compétence optionnelle « IRVE ».</w:t>
      </w:r>
    </w:p>
    <w:p w:rsidR="005951CE" w:rsidRPr="000C1D70" w:rsidRDefault="005951CE" w:rsidP="00C43FA4">
      <w:pPr>
        <w:autoSpaceDE w:val="0"/>
        <w:autoSpaceDN w:val="0"/>
        <w:adjustRightInd w:val="0"/>
        <w:spacing w:after="0" w:line="240" w:lineRule="auto"/>
        <w:jc w:val="both"/>
        <w:rPr>
          <w:rFonts w:cs="Arial"/>
          <w:b/>
          <w:bCs/>
        </w:rPr>
      </w:pPr>
    </w:p>
    <w:p w:rsidR="00C43FA4" w:rsidRPr="000C1D70" w:rsidRDefault="00C43FA4" w:rsidP="00C43FA4">
      <w:pPr>
        <w:autoSpaceDE w:val="0"/>
        <w:autoSpaceDN w:val="0"/>
        <w:adjustRightInd w:val="0"/>
        <w:spacing w:after="0" w:line="240" w:lineRule="auto"/>
        <w:jc w:val="both"/>
        <w:rPr>
          <w:rFonts w:cs="Arial"/>
        </w:rPr>
      </w:pPr>
      <w:r w:rsidRPr="000C1D70">
        <w:rPr>
          <w:rFonts w:cs="Arial"/>
        </w:rPr>
        <w:t xml:space="preserve">Dans ce règlement, le </w:t>
      </w:r>
      <w:r w:rsidR="005951CE" w:rsidRPr="000C1D70">
        <w:rPr>
          <w:rFonts w:cs="Arial"/>
        </w:rPr>
        <w:t>SDE</w:t>
      </w:r>
      <w:r w:rsidR="00A60AD6" w:rsidRPr="000C1D70">
        <w:rPr>
          <w:rFonts w:cs="Arial"/>
        </w:rPr>
        <w:t xml:space="preserve"> </w:t>
      </w:r>
      <w:r w:rsidR="005951CE" w:rsidRPr="000C1D70">
        <w:rPr>
          <w:rFonts w:cs="Arial"/>
        </w:rPr>
        <w:t>07</w:t>
      </w:r>
      <w:r w:rsidR="007377C8" w:rsidRPr="000C1D70">
        <w:rPr>
          <w:rFonts w:cs="Arial"/>
        </w:rPr>
        <w:t xml:space="preserve"> peut être désigné par «</w:t>
      </w:r>
      <w:r w:rsidR="005951CE" w:rsidRPr="000C1D70">
        <w:rPr>
          <w:rFonts w:cs="Arial"/>
        </w:rPr>
        <w:t>le SDE</w:t>
      </w:r>
      <w:r w:rsidR="00A60AD6" w:rsidRPr="000C1D70">
        <w:rPr>
          <w:rFonts w:cs="Arial"/>
        </w:rPr>
        <w:t xml:space="preserve"> </w:t>
      </w:r>
      <w:r w:rsidR="005951CE" w:rsidRPr="000C1D70">
        <w:rPr>
          <w:rFonts w:cs="Arial"/>
        </w:rPr>
        <w:t>07</w:t>
      </w:r>
      <w:r w:rsidRPr="000C1D70">
        <w:rPr>
          <w:rFonts w:cs="Arial"/>
        </w:rPr>
        <w:t>» ou par « le syndicat », les collectivités ayant transféré la compétence sont désignées par le term</w:t>
      </w:r>
      <w:r w:rsidR="007377C8" w:rsidRPr="000C1D70">
        <w:rPr>
          <w:rFonts w:cs="Arial"/>
        </w:rPr>
        <w:t>e «les collectivités</w:t>
      </w:r>
      <w:r w:rsidRPr="000C1D70">
        <w:rPr>
          <w:rFonts w:cs="Arial"/>
        </w:rPr>
        <w:t>».</w:t>
      </w:r>
    </w:p>
    <w:p w:rsidR="00C43FA4" w:rsidRPr="000C1D70" w:rsidRDefault="00C43FA4">
      <w:pPr>
        <w:rPr>
          <w:rFonts w:cs="Arial"/>
        </w:rPr>
      </w:pPr>
    </w:p>
    <w:p w:rsidR="00A60AD6" w:rsidRPr="000C1D70" w:rsidRDefault="00A60AD6">
      <w:pPr>
        <w:rPr>
          <w:rFonts w:cs="Arial"/>
        </w:rPr>
      </w:pPr>
    </w:p>
    <w:p w:rsidR="00022DDE" w:rsidRPr="000C1D70" w:rsidRDefault="00022DDE">
      <w:pPr>
        <w:rPr>
          <w:rFonts w:cs="Arial"/>
        </w:rPr>
      </w:pPr>
    </w:p>
    <w:p w:rsidR="000A3E21" w:rsidRPr="000C1D70" w:rsidRDefault="000A3E21">
      <w:pPr>
        <w:rPr>
          <w:rFonts w:cs="Arial"/>
        </w:rPr>
      </w:pPr>
    </w:p>
    <w:p w:rsidR="000A3E21" w:rsidRPr="000C1D70" w:rsidRDefault="000A3E21">
      <w:pPr>
        <w:rPr>
          <w:rFonts w:cs="Arial"/>
        </w:rPr>
      </w:pPr>
    </w:p>
    <w:p w:rsidR="006F438F" w:rsidRPr="000C1D70" w:rsidRDefault="00A60AD6" w:rsidP="00084749">
      <w:pPr>
        <w:pStyle w:val="ReglementChapitre"/>
        <w:rPr>
          <w:rFonts w:asciiTheme="minorHAnsi" w:hAnsiTheme="minorHAnsi"/>
        </w:rPr>
      </w:pPr>
      <w:bookmarkStart w:id="2" w:name="_Toc431460260"/>
      <w:r w:rsidRPr="000C1D70">
        <w:rPr>
          <w:rFonts w:asciiTheme="minorHAnsi" w:hAnsiTheme="minorHAnsi"/>
        </w:rPr>
        <w:t>CHAPITRE 1 – DISPOSITIONS GENERALES</w:t>
      </w:r>
      <w:bookmarkEnd w:id="2"/>
    </w:p>
    <w:p w:rsidR="00084749" w:rsidRPr="000C1D70" w:rsidRDefault="00084749" w:rsidP="00084749">
      <w:pPr>
        <w:pStyle w:val="Reglementtitre"/>
        <w:rPr>
          <w:rFonts w:asciiTheme="minorHAnsi" w:hAnsiTheme="minorHAnsi"/>
        </w:rPr>
      </w:pPr>
    </w:p>
    <w:p w:rsidR="00A60AD6" w:rsidRPr="000C1D70" w:rsidRDefault="00A60AD6" w:rsidP="00084749">
      <w:pPr>
        <w:pStyle w:val="Reglementtitre"/>
        <w:rPr>
          <w:rFonts w:asciiTheme="minorHAnsi" w:hAnsiTheme="minorHAnsi"/>
        </w:rPr>
      </w:pPr>
      <w:bookmarkStart w:id="3" w:name="_Toc431460261"/>
      <w:r w:rsidRPr="000C1D70">
        <w:rPr>
          <w:rFonts w:asciiTheme="minorHAnsi" w:hAnsiTheme="minorHAnsi"/>
        </w:rPr>
        <w:t>1.1. Objet</w:t>
      </w:r>
      <w:bookmarkEnd w:id="3"/>
    </w:p>
    <w:p w:rsidR="006F438F" w:rsidRPr="000C1D70" w:rsidRDefault="006F438F" w:rsidP="00A60AD6">
      <w:pPr>
        <w:autoSpaceDE w:val="0"/>
        <w:autoSpaceDN w:val="0"/>
        <w:adjustRightInd w:val="0"/>
        <w:spacing w:after="0" w:line="240" w:lineRule="auto"/>
        <w:rPr>
          <w:rFonts w:cs="Arial"/>
        </w:rPr>
      </w:pPr>
    </w:p>
    <w:p w:rsidR="00A60AD6" w:rsidRPr="000C1D70" w:rsidRDefault="00A60AD6" w:rsidP="007377C8">
      <w:pPr>
        <w:autoSpaceDE w:val="0"/>
        <w:autoSpaceDN w:val="0"/>
        <w:adjustRightInd w:val="0"/>
        <w:spacing w:after="0" w:line="240" w:lineRule="auto"/>
        <w:jc w:val="both"/>
        <w:rPr>
          <w:rFonts w:cs="Arial"/>
        </w:rPr>
      </w:pPr>
      <w:r w:rsidRPr="000C1D70">
        <w:rPr>
          <w:rFonts w:cs="Arial"/>
        </w:rPr>
        <w:t>L’</w:t>
      </w:r>
      <w:r w:rsidR="00745744" w:rsidRPr="000C1D70">
        <w:rPr>
          <w:rFonts w:cs="Arial"/>
        </w:rPr>
        <w:t>article 4-1</w:t>
      </w:r>
      <w:r w:rsidR="00073896" w:rsidRPr="000C1D70">
        <w:rPr>
          <w:rFonts w:cs="Arial"/>
        </w:rPr>
        <w:t>-4</w:t>
      </w:r>
      <w:r w:rsidRPr="000C1D70">
        <w:rPr>
          <w:rFonts w:cs="Arial"/>
        </w:rPr>
        <w:t xml:space="preserve"> des statuts du </w:t>
      </w:r>
      <w:r w:rsidR="00073896" w:rsidRPr="000C1D70">
        <w:rPr>
          <w:rFonts w:cs="Arial"/>
        </w:rPr>
        <w:t>SDE 07</w:t>
      </w:r>
      <w:r w:rsidRPr="000C1D70">
        <w:rPr>
          <w:rFonts w:cs="Arial"/>
        </w:rPr>
        <w:t xml:space="preserve"> autorise l’exercice de la compétence « </w:t>
      </w:r>
      <w:r w:rsidR="006F438F" w:rsidRPr="000C1D70">
        <w:rPr>
          <w:rFonts w:cs="Arial"/>
          <w:b/>
          <w:bCs/>
        </w:rPr>
        <w:t xml:space="preserve">IRVE : </w:t>
      </w:r>
      <w:r w:rsidRPr="000C1D70">
        <w:rPr>
          <w:rFonts w:cs="Arial"/>
          <w:b/>
          <w:bCs/>
        </w:rPr>
        <w:t xml:space="preserve">Infrastructures de charge pour véhicules électriques </w:t>
      </w:r>
      <w:r w:rsidRPr="000C1D70">
        <w:rPr>
          <w:rFonts w:cs="Arial"/>
        </w:rPr>
        <w:t>» selon les termes suivants :</w:t>
      </w:r>
    </w:p>
    <w:p w:rsidR="006F438F" w:rsidRPr="000C1D70" w:rsidRDefault="006F438F" w:rsidP="007377C8">
      <w:pPr>
        <w:autoSpaceDE w:val="0"/>
        <w:autoSpaceDN w:val="0"/>
        <w:adjustRightInd w:val="0"/>
        <w:spacing w:after="0" w:line="240" w:lineRule="auto"/>
        <w:jc w:val="both"/>
        <w:rPr>
          <w:rFonts w:cs="Arial"/>
          <w:highlight w:val="yellow"/>
        </w:rPr>
      </w:pPr>
      <w:r w:rsidRPr="000C1D70">
        <w:rPr>
          <w:rFonts w:cs="Arial"/>
        </w:rPr>
        <w:t xml:space="preserve">« Infrastructures de charge :  le Syndicat assure, pour les collectivités adhérant à cette compétence, la mise en place d’un service coordonné comprenant la création, l’entretien ou l’exploitation des infrastructures de charges nécessaires à l’usage des véhicules électriques ou hybrides rechargeables. »  </w:t>
      </w:r>
    </w:p>
    <w:p w:rsidR="006F438F" w:rsidRPr="000C1D70" w:rsidRDefault="006F438F" w:rsidP="007377C8">
      <w:pPr>
        <w:autoSpaceDE w:val="0"/>
        <w:autoSpaceDN w:val="0"/>
        <w:adjustRightInd w:val="0"/>
        <w:spacing w:after="0" w:line="240" w:lineRule="auto"/>
        <w:jc w:val="both"/>
        <w:rPr>
          <w:rFonts w:cs="Arial"/>
          <w:highlight w:val="yellow"/>
        </w:rPr>
      </w:pPr>
    </w:p>
    <w:p w:rsidR="00A60AD6" w:rsidRPr="000C1D70" w:rsidRDefault="00A60AD6" w:rsidP="007377C8">
      <w:pPr>
        <w:autoSpaceDE w:val="0"/>
        <w:autoSpaceDN w:val="0"/>
        <w:adjustRightInd w:val="0"/>
        <w:spacing w:after="0" w:line="240" w:lineRule="auto"/>
        <w:jc w:val="both"/>
        <w:rPr>
          <w:rFonts w:cs="Arial"/>
        </w:rPr>
      </w:pPr>
      <w:r w:rsidRPr="000C1D70">
        <w:rPr>
          <w:rFonts w:cs="Arial"/>
        </w:rPr>
        <w:t xml:space="preserve">Le présent document a pour objet de définir les conditions administratives, techniques et financières d’exercice de cette compétence. Il est établi par le </w:t>
      </w:r>
      <w:r w:rsidR="003E6296" w:rsidRPr="000C1D70">
        <w:rPr>
          <w:rFonts w:cs="Arial"/>
        </w:rPr>
        <w:t>Comité</w:t>
      </w:r>
      <w:r w:rsidRPr="000C1D70">
        <w:rPr>
          <w:rFonts w:cs="Arial"/>
        </w:rPr>
        <w:t xml:space="preserve"> syndical</w:t>
      </w:r>
      <w:r w:rsidR="003E6296" w:rsidRPr="000C1D70">
        <w:rPr>
          <w:rFonts w:cs="Arial"/>
        </w:rPr>
        <w:t>.</w:t>
      </w:r>
    </w:p>
    <w:p w:rsidR="006F438F" w:rsidRPr="000C1D70" w:rsidRDefault="006F438F" w:rsidP="00A60AD6">
      <w:pPr>
        <w:autoSpaceDE w:val="0"/>
        <w:autoSpaceDN w:val="0"/>
        <w:adjustRightInd w:val="0"/>
        <w:spacing w:after="0" w:line="240" w:lineRule="auto"/>
        <w:rPr>
          <w:rFonts w:cs="Arial"/>
          <w:b/>
          <w:bCs/>
          <w:highlight w:val="yellow"/>
        </w:rPr>
      </w:pPr>
    </w:p>
    <w:p w:rsidR="00F73C17" w:rsidRPr="000C1D70" w:rsidRDefault="00F73C17" w:rsidP="00A60AD6">
      <w:pPr>
        <w:autoSpaceDE w:val="0"/>
        <w:autoSpaceDN w:val="0"/>
        <w:adjustRightInd w:val="0"/>
        <w:spacing w:after="0" w:line="240" w:lineRule="auto"/>
        <w:rPr>
          <w:rFonts w:cs="Arial"/>
          <w:b/>
          <w:bCs/>
          <w:highlight w:val="yellow"/>
        </w:rPr>
      </w:pPr>
    </w:p>
    <w:p w:rsidR="00A60AD6" w:rsidRPr="000C1D70" w:rsidRDefault="00A60AD6" w:rsidP="00084749">
      <w:pPr>
        <w:pStyle w:val="Reglementtitre"/>
        <w:rPr>
          <w:rFonts w:asciiTheme="minorHAnsi" w:hAnsiTheme="minorHAnsi"/>
        </w:rPr>
      </w:pPr>
      <w:bookmarkStart w:id="4" w:name="_Toc431460262"/>
      <w:r w:rsidRPr="000C1D70">
        <w:rPr>
          <w:rFonts w:asciiTheme="minorHAnsi" w:hAnsiTheme="minorHAnsi"/>
        </w:rPr>
        <w:t>1.2. Consistance de la compétence</w:t>
      </w:r>
      <w:bookmarkEnd w:id="4"/>
    </w:p>
    <w:p w:rsidR="006F438F" w:rsidRPr="000C1D70" w:rsidRDefault="006F438F" w:rsidP="00A60AD6">
      <w:pPr>
        <w:autoSpaceDE w:val="0"/>
        <w:autoSpaceDN w:val="0"/>
        <w:adjustRightInd w:val="0"/>
        <w:spacing w:after="0" w:line="240" w:lineRule="auto"/>
        <w:rPr>
          <w:rFonts w:cs="Arial"/>
        </w:rPr>
      </w:pPr>
    </w:p>
    <w:p w:rsidR="00A60AD6" w:rsidRPr="000C1D70" w:rsidRDefault="00A60AD6" w:rsidP="007377C8">
      <w:pPr>
        <w:autoSpaceDE w:val="0"/>
        <w:autoSpaceDN w:val="0"/>
        <w:adjustRightInd w:val="0"/>
        <w:spacing w:after="0" w:line="240" w:lineRule="auto"/>
        <w:jc w:val="both"/>
        <w:rPr>
          <w:rFonts w:cs="Arial"/>
        </w:rPr>
      </w:pPr>
      <w:r w:rsidRPr="000C1D70">
        <w:rPr>
          <w:rFonts w:cs="Arial"/>
        </w:rPr>
        <w:t>La compétence recouvre l’investissement (travaux de création) et le fonctionnement (maintenance, exploitation, gestion du patrimoine et consommations d’électricité, supervision et interopérabilité, commercialisation des services de recharge, etc.) des infrastructures de charge.</w:t>
      </w:r>
    </w:p>
    <w:p w:rsidR="006F438F" w:rsidRPr="000C1D70" w:rsidRDefault="006F438F" w:rsidP="007377C8">
      <w:pPr>
        <w:autoSpaceDE w:val="0"/>
        <w:autoSpaceDN w:val="0"/>
        <w:adjustRightInd w:val="0"/>
        <w:spacing w:after="0" w:line="240" w:lineRule="auto"/>
        <w:jc w:val="both"/>
        <w:rPr>
          <w:rFonts w:cs="Arial"/>
        </w:rPr>
      </w:pPr>
    </w:p>
    <w:p w:rsidR="00A60AD6" w:rsidRPr="000C1D70" w:rsidRDefault="00A60AD6" w:rsidP="007377C8">
      <w:pPr>
        <w:autoSpaceDE w:val="0"/>
        <w:autoSpaceDN w:val="0"/>
        <w:adjustRightInd w:val="0"/>
        <w:spacing w:after="0" w:line="240" w:lineRule="auto"/>
        <w:jc w:val="both"/>
        <w:rPr>
          <w:rFonts w:cs="Arial"/>
          <w:b/>
          <w:bCs/>
        </w:rPr>
      </w:pPr>
      <w:r w:rsidRPr="000C1D70">
        <w:rPr>
          <w:rFonts w:cs="Arial"/>
        </w:rPr>
        <w:t xml:space="preserve">L’exercice de la compétence par le </w:t>
      </w:r>
      <w:r w:rsidR="006F438F" w:rsidRPr="000C1D70">
        <w:rPr>
          <w:rFonts w:cs="Arial"/>
        </w:rPr>
        <w:t>SDE 07</w:t>
      </w:r>
      <w:r w:rsidRPr="000C1D70">
        <w:rPr>
          <w:rFonts w:cs="Arial"/>
        </w:rPr>
        <w:t xml:space="preserve"> </w:t>
      </w:r>
      <w:r w:rsidRPr="000C1D70">
        <w:rPr>
          <w:rFonts w:cs="Arial"/>
          <w:b/>
          <w:bCs/>
        </w:rPr>
        <w:t>s’applique aux infrastructures de charge ouvertes au public, et à tous types de véhicules électriques et hybrides rechargeables</w:t>
      </w:r>
      <w:r w:rsidRPr="000C1D70">
        <w:rPr>
          <w:rFonts w:cs="Arial"/>
        </w:rPr>
        <w:t>,</w:t>
      </w:r>
      <w:r w:rsidRPr="000C1D70">
        <w:rPr>
          <w:rFonts w:cs="Arial"/>
          <w:b/>
          <w:bCs/>
        </w:rPr>
        <w:t xml:space="preserve"> intégrées au réseau départemental dans le cadre du service organisé par le </w:t>
      </w:r>
      <w:r w:rsidR="006F438F" w:rsidRPr="000C1D70">
        <w:rPr>
          <w:rFonts w:cs="Arial"/>
          <w:b/>
          <w:bCs/>
        </w:rPr>
        <w:t>SDE 07</w:t>
      </w:r>
      <w:r w:rsidRPr="000C1D70">
        <w:rPr>
          <w:rFonts w:cs="Arial"/>
        </w:rPr>
        <w:t>.</w:t>
      </w:r>
    </w:p>
    <w:p w:rsidR="006F438F" w:rsidRPr="000C1D70" w:rsidRDefault="006F438F" w:rsidP="007377C8">
      <w:pPr>
        <w:autoSpaceDE w:val="0"/>
        <w:autoSpaceDN w:val="0"/>
        <w:adjustRightInd w:val="0"/>
        <w:spacing w:after="0" w:line="240" w:lineRule="auto"/>
        <w:jc w:val="both"/>
        <w:rPr>
          <w:rFonts w:cs="Arial"/>
        </w:rPr>
      </w:pPr>
    </w:p>
    <w:p w:rsidR="00A60AD6" w:rsidRPr="000C1D70" w:rsidRDefault="00A60AD6" w:rsidP="007377C8">
      <w:pPr>
        <w:autoSpaceDE w:val="0"/>
        <w:autoSpaceDN w:val="0"/>
        <w:adjustRightInd w:val="0"/>
        <w:spacing w:after="0" w:line="240" w:lineRule="auto"/>
        <w:jc w:val="both"/>
        <w:rPr>
          <w:rFonts w:cs="Arial"/>
        </w:rPr>
      </w:pPr>
      <w:r w:rsidRPr="000C1D70">
        <w:rPr>
          <w:rFonts w:cs="Arial"/>
        </w:rPr>
        <w:t>Les infrastructures peuvent être déployées en domaine public ou sur le domaine privé mis à disposition par la collectivité sans aucune restriction d’accès.</w:t>
      </w:r>
    </w:p>
    <w:p w:rsidR="006F438F" w:rsidRPr="000C1D70" w:rsidRDefault="006F438F" w:rsidP="007377C8">
      <w:pPr>
        <w:autoSpaceDE w:val="0"/>
        <w:autoSpaceDN w:val="0"/>
        <w:adjustRightInd w:val="0"/>
        <w:spacing w:after="0" w:line="240" w:lineRule="auto"/>
        <w:jc w:val="both"/>
        <w:rPr>
          <w:rFonts w:cs="Arial"/>
          <w:b/>
          <w:bCs/>
          <w:highlight w:val="yellow"/>
        </w:rPr>
      </w:pPr>
    </w:p>
    <w:p w:rsidR="00F73C17" w:rsidRPr="000C1D70" w:rsidRDefault="00F73C17" w:rsidP="007377C8">
      <w:pPr>
        <w:autoSpaceDE w:val="0"/>
        <w:autoSpaceDN w:val="0"/>
        <w:adjustRightInd w:val="0"/>
        <w:spacing w:after="0" w:line="240" w:lineRule="auto"/>
        <w:jc w:val="both"/>
        <w:rPr>
          <w:rFonts w:cs="Arial"/>
          <w:b/>
          <w:bCs/>
          <w:highlight w:val="yellow"/>
        </w:rPr>
      </w:pPr>
    </w:p>
    <w:p w:rsidR="00A60AD6" w:rsidRPr="000C1D70" w:rsidRDefault="00A60AD6" w:rsidP="00084749">
      <w:pPr>
        <w:pStyle w:val="Reglementtitre"/>
        <w:rPr>
          <w:rFonts w:asciiTheme="minorHAnsi" w:hAnsiTheme="minorHAnsi"/>
        </w:rPr>
      </w:pPr>
      <w:bookmarkStart w:id="5" w:name="_Toc431460263"/>
      <w:r w:rsidRPr="000C1D70">
        <w:rPr>
          <w:rFonts w:asciiTheme="minorHAnsi" w:hAnsiTheme="minorHAnsi"/>
        </w:rPr>
        <w:t>1.3. Modalités et conditions de transfert et reprise de la compétence</w:t>
      </w:r>
      <w:bookmarkEnd w:id="5"/>
    </w:p>
    <w:p w:rsidR="00084749" w:rsidRPr="000C1D70" w:rsidRDefault="00084749" w:rsidP="007377C8">
      <w:pPr>
        <w:autoSpaceDE w:val="0"/>
        <w:autoSpaceDN w:val="0"/>
        <w:adjustRightInd w:val="0"/>
        <w:spacing w:after="0" w:line="240" w:lineRule="auto"/>
        <w:jc w:val="both"/>
        <w:rPr>
          <w:rFonts w:cs="Arial"/>
          <w:b/>
          <w:bCs/>
          <w:highlight w:val="yellow"/>
        </w:rPr>
      </w:pPr>
    </w:p>
    <w:p w:rsidR="00A60AD6" w:rsidRPr="000C1D70" w:rsidRDefault="00A60AD6" w:rsidP="007377C8">
      <w:pPr>
        <w:autoSpaceDE w:val="0"/>
        <w:autoSpaceDN w:val="0"/>
        <w:adjustRightInd w:val="0"/>
        <w:spacing w:after="0" w:line="240" w:lineRule="auto"/>
        <w:jc w:val="both"/>
        <w:rPr>
          <w:rFonts w:cs="Arial"/>
          <w:highlight w:val="cyan"/>
        </w:rPr>
      </w:pPr>
      <w:r w:rsidRPr="000C1D70">
        <w:rPr>
          <w:rFonts w:cs="Arial"/>
        </w:rPr>
        <w:t xml:space="preserve">En application </w:t>
      </w:r>
      <w:r w:rsidR="00F9248B" w:rsidRPr="000C1D70">
        <w:rPr>
          <w:rFonts w:cs="Arial"/>
        </w:rPr>
        <w:t>des articles L 5211-17 et L 5211-5 du CGCT</w:t>
      </w:r>
      <w:r w:rsidRPr="000C1D70">
        <w:rPr>
          <w:rFonts w:cs="Arial"/>
        </w:rPr>
        <w:t xml:space="preserve">, le transfert de la compétence </w:t>
      </w:r>
      <w:r w:rsidR="001B513F" w:rsidRPr="000C1D70">
        <w:rPr>
          <w:rFonts w:cs="Arial"/>
        </w:rPr>
        <w:t>« </w:t>
      </w:r>
      <w:r w:rsidR="001B513F" w:rsidRPr="000C1D70">
        <w:rPr>
          <w:rFonts w:cs="Arial"/>
          <w:color w:val="000000"/>
          <w:shd w:val="clear" w:color="auto" w:fill="FFFFFF"/>
        </w:rPr>
        <w:t>est décidé par délibérations concordantes de l'organe délibérant et des conseils municipaux se prononçant dans les conditions de majorité requise pour la création de l'établissement public de coopération intercommunale. »</w:t>
      </w:r>
    </w:p>
    <w:p w:rsidR="001B513F" w:rsidRPr="000C1D70" w:rsidRDefault="001B513F" w:rsidP="007377C8">
      <w:pPr>
        <w:autoSpaceDE w:val="0"/>
        <w:autoSpaceDN w:val="0"/>
        <w:adjustRightInd w:val="0"/>
        <w:spacing w:after="0" w:line="240" w:lineRule="auto"/>
        <w:jc w:val="both"/>
        <w:rPr>
          <w:rFonts w:cs="Arial"/>
        </w:rPr>
      </w:pPr>
    </w:p>
    <w:p w:rsidR="00A60AD6" w:rsidRPr="000C1D70" w:rsidRDefault="00A60AD6" w:rsidP="007377C8">
      <w:pPr>
        <w:autoSpaceDE w:val="0"/>
        <w:autoSpaceDN w:val="0"/>
        <w:adjustRightInd w:val="0"/>
        <w:spacing w:after="0" w:line="240" w:lineRule="auto"/>
        <w:jc w:val="both"/>
        <w:rPr>
          <w:rFonts w:cs="Arial"/>
        </w:rPr>
      </w:pPr>
      <w:r w:rsidRPr="000C1D70">
        <w:rPr>
          <w:rFonts w:cs="Arial"/>
        </w:rPr>
        <w:t>La délibération de chaque collectivité relative au dit transfert emporte acceptation sans réserve par chacune d’elle des présentes conditions administratives, techniques et financières.</w:t>
      </w:r>
    </w:p>
    <w:p w:rsidR="002A4387" w:rsidRPr="000C1D70" w:rsidRDefault="002A4387" w:rsidP="007377C8">
      <w:pPr>
        <w:autoSpaceDE w:val="0"/>
        <w:autoSpaceDN w:val="0"/>
        <w:adjustRightInd w:val="0"/>
        <w:spacing w:after="0" w:line="240" w:lineRule="auto"/>
        <w:jc w:val="both"/>
        <w:rPr>
          <w:rFonts w:cs="Arial"/>
        </w:rPr>
      </w:pPr>
    </w:p>
    <w:p w:rsidR="00A60AD6" w:rsidRPr="000C1D70" w:rsidRDefault="00A60AD6" w:rsidP="007377C8">
      <w:pPr>
        <w:autoSpaceDE w:val="0"/>
        <w:autoSpaceDN w:val="0"/>
        <w:adjustRightInd w:val="0"/>
        <w:spacing w:after="0" w:line="240" w:lineRule="auto"/>
        <w:jc w:val="both"/>
        <w:rPr>
          <w:rFonts w:cs="Arial"/>
        </w:rPr>
      </w:pPr>
      <w:r w:rsidRPr="000C1D70">
        <w:rPr>
          <w:rFonts w:cs="Arial"/>
        </w:rPr>
        <w:t>Les conditions de reprise de cette compétence s</w:t>
      </w:r>
      <w:r w:rsidR="002A4387" w:rsidRPr="000C1D70">
        <w:rPr>
          <w:rFonts w:cs="Arial"/>
        </w:rPr>
        <w:t>ont définies par l’article 4.3</w:t>
      </w:r>
      <w:r w:rsidRPr="000C1D70">
        <w:rPr>
          <w:rFonts w:cs="Arial"/>
        </w:rPr>
        <w:t xml:space="preserve"> des statuts du</w:t>
      </w:r>
    </w:p>
    <w:p w:rsidR="00A60AD6" w:rsidRPr="000C1D70" w:rsidRDefault="002A4387" w:rsidP="007377C8">
      <w:pPr>
        <w:jc w:val="both"/>
        <w:rPr>
          <w:rFonts w:cs="Arial"/>
        </w:rPr>
      </w:pPr>
      <w:r w:rsidRPr="000C1D70">
        <w:rPr>
          <w:rFonts w:cs="Arial"/>
        </w:rPr>
        <w:t>SDE 07</w:t>
      </w:r>
      <w:r w:rsidR="00A60AD6" w:rsidRPr="000C1D70">
        <w:rPr>
          <w:rFonts w:cs="Arial"/>
        </w:rPr>
        <w:t>.</w:t>
      </w:r>
    </w:p>
    <w:p w:rsidR="002A4387" w:rsidRPr="000C1D70" w:rsidRDefault="002A4387" w:rsidP="007377C8">
      <w:pPr>
        <w:jc w:val="both"/>
        <w:rPr>
          <w:rFonts w:cs="Arial"/>
        </w:rPr>
      </w:pPr>
    </w:p>
    <w:p w:rsidR="008901AF" w:rsidRPr="000C1D70" w:rsidRDefault="008901AF" w:rsidP="007377C8">
      <w:pPr>
        <w:jc w:val="both"/>
        <w:rPr>
          <w:rFonts w:cs="Arial"/>
        </w:rPr>
      </w:pPr>
    </w:p>
    <w:p w:rsidR="008901AF" w:rsidRPr="000C1D70" w:rsidRDefault="008901AF" w:rsidP="007377C8">
      <w:pPr>
        <w:jc w:val="both"/>
        <w:rPr>
          <w:rFonts w:cs="Arial"/>
        </w:rPr>
      </w:pPr>
    </w:p>
    <w:p w:rsidR="003E6296" w:rsidRPr="000C1D70" w:rsidRDefault="003E6296" w:rsidP="007377C8">
      <w:pPr>
        <w:jc w:val="both"/>
        <w:rPr>
          <w:rFonts w:cs="Arial"/>
        </w:rPr>
      </w:pPr>
    </w:p>
    <w:p w:rsidR="001B513F" w:rsidRPr="000C1D70" w:rsidRDefault="001B513F" w:rsidP="007377C8">
      <w:pPr>
        <w:jc w:val="both"/>
        <w:rPr>
          <w:rFonts w:cs="Arial"/>
        </w:rPr>
      </w:pPr>
    </w:p>
    <w:p w:rsidR="00A60AD6" w:rsidRPr="000C1D70" w:rsidRDefault="00A60AD6" w:rsidP="00084749">
      <w:pPr>
        <w:pStyle w:val="Reglementtitre"/>
        <w:rPr>
          <w:rFonts w:asciiTheme="minorHAnsi" w:hAnsiTheme="minorHAnsi"/>
        </w:rPr>
      </w:pPr>
      <w:bookmarkStart w:id="6" w:name="_Toc431460264"/>
      <w:r w:rsidRPr="000C1D70">
        <w:rPr>
          <w:rFonts w:asciiTheme="minorHAnsi" w:hAnsiTheme="minorHAnsi"/>
        </w:rPr>
        <w:t>1.4. Patrimoine existant et projets de création d’infrastructures de charge sous maîtrise d’ouvrage d’un tiers</w:t>
      </w:r>
      <w:bookmarkEnd w:id="6"/>
    </w:p>
    <w:p w:rsidR="006F438F" w:rsidRPr="000C1D70" w:rsidRDefault="006F438F" w:rsidP="00A60AD6">
      <w:pPr>
        <w:autoSpaceDE w:val="0"/>
        <w:autoSpaceDN w:val="0"/>
        <w:adjustRightInd w:val="0"/>
        <w:spacing w:after="0" w:line="240" w:lineRule="auto"/>
        <w:rPr>
          <w:rFonts w:cs="Arial"/>
          <w:color w:val="000000"/>
          <w:highlight w:val="yellow"/>
        </w:rPr>
      </w:pPr>
    </w:p>
    <w:p w:rsidR="00A60AD6" w:rsidRPr="000C1D70" w:rsidRDefault="00A60AD6" w:rsidP="007377C8">
      <w:pPr>
        <w:autoSpaceDE w:val="0"/>
        <w:autoSpaceDN w:val="0"/>
        <w:adjustRightInd w:val="0"/>
        <w:spacing w:after="0" w:line="240" w:lineRule="auto"/>
        <w:jc w:val="both"/>
        <w:rPr>
          <w:rFonts w:cs="Arial"/>
          <w:color w:val="000000"/>
        </w:rPr>
      </w:pPr>
      <w:r w:rsidRPr="000C1D70">
        <w:rPr>
          <w:rFonts w:cs="Arial"/>
          <w:color w:val="000000"/>
        </w:rPr>
        <w:t>Le transfert de compétence entraine, de plein droit, la mise à disposition à titre gratuit au syndicat des biens meubles et immeubles nécessaires à l’exercice de la compétence transférée, en application de l’article L.5721-6-1 du CGCT.</w:t>
      </w:r>
    </w:p>
    <w:p w:rsidR="006F438F" w:rsidRPr="000C1D70" w:rsidRDefault="006F438F" w:rsidP="007377C8">
      <w:pPr>
        <w:autoSpaceDE w:val="0"/>
        <w:autoSpaceDN w:val="0"/>
        <w:adjustRightInd w:val="0"/>
        <w:spacing w:after="0" w:line="240" w:lineRule="auto"/>
        <w:jc w:val="both"/>
        <w:rPr>
          <w:rFonts w:cs="Arial"/>
          <w:color w:val="000000"/>
        </w:rPr>
      </w:pPr>
    </w:p>
    <w:p w:rsidR="00A60AD6" w:rsidRPr="000C1D70" w:rsidRDefault="00A60AD6" w:rsidP="007377C8">
      <w:pPr>
        <w:autoSpaceDE w:val="0"/>
        <w:autoSpaceDN w:val="0"/>
        <w:adjustRightInd w:val="0"/>
        <w:spacing w:after="0" w:line="240" w:lineRule="auto"/>
        <w:jc w:val="both"/>
        <w:rPr>
          <w:rFonts w:cs="Arial"/>
          <w:color w:val="000000"/>
        </w:rPr>
      </w:pPr>
      <w:r w:rsidRPr="000C1D70">
        <w:rPr>
          <w:rFonts w:cs="Arial"/>
          <w:color w:val="000000"/>
        </w:rPr>
        <w:t xml:space="preserve">En application de ces dispositions, les infrastructures de charge ouvertes au public sans restrictions d’accès, </w:t>
      </w:r>
      <w:proofErr w:type="spellStart"/>
      <w:r w:rsidRPr="000C1D70">
        <w:rPr>
          <w:rFonts w:cs="Arial"/>
          <w:color w:val="000000"/>
        </w:rPr>
        <w:t>pré-existantes</w:t>
      </w:r>
      <w:proofErr w:type="spellEnd"/>
      <w:r w:rsidRPr="000C1D70">
        <w:rPr>
          <w:rFonts w:cs="Arial"/>
          <w:color w:val="000000"/>
        </w:rPr>
        <w:t xml:space="preserve"> sur le territoire communal lors du transfert de la compétence, font l’objet, préalablement à leur mise à disposition, d’une évaluation portant sur l’état technique des installations, le coût éventuel de leur remise aux normes ou mise à niveau, les capacités d’interopérabilité avec les autres infrastructures de charge du réseau départemental afin d’évaluer la possibilité de leur intégration à ce réseau et de prise en exploi</w:t>
      </w:r>
      <w:r w:rsidR="00E37838" w:rsidRPr="000C1D70">
        <w:rPr>
          <w:rFonts w:cs="Arial"/>
          <w:color w:val="000000"/>
        </w:rPr>
        <w:t xml:space="preserve">tation dans le cadre du service </w:t>
      </w:r>
      <w:r w:rsidRPr="000C1D70">
        <w:rPr>
          <w:rFonts w:cs="Arial"/>
          <w:color w:val="000000"/>
        </w:rPr>
        <w:t xml:space="preserve">organisé par le </w:t>
      </w:r>
      <w:r w:rsidR="006F438F" w:rsidRPr="000C1D70">
        <w:rPr>
          <w:rFonts w:cs="Arial"/>
          <w:color w:val="000000"/>
        </w:rPr>
        <w:t>SDE 07</w:t>
      </w:r>
      <w:r w:rsidRPr="000C1D70">
        <w:rPr>
          <w:rFonts w:cs="Arial"/>
          <w:color w:val="000000"/>
        </w:rPr>
        <w:t>.</w:t>
      </w:r>
    </w:p>
    <w:p w:rsidR="00E37838" w:rsidRPr="000C1D70" w:rsidRDefault="00E37838" w:rsidP="007377C8">
      <w:pPr>
        <w:autoSpaceDE w:val="0"/>
        <w:autoSpaceDN w:val="0"/>
        <w:adjustRightInd w:val="0"/>
        <w:spacing w:after="0" w:line="240" w:lineRule="auto"/>
        <w:jc w:val="both"/>
        <w:rPr>
          <w:rFonts w:cs="Arial"/>
          <w:color w:val="000000"/>
        </w:rPr>
      </w:pPr>
    </w:p>
    <w:p w:rsidR="00A60AD6" w:rsidRPr="000C1D70" w:rsidRDefault="00A60AD6" w:rsidP="007377C8">
      <w:pPr>
        <w:autoSpaceDE w:val="0"/>
        <w:autoSpaceDN w:val="0"/>
        <w:adjustRightInd w:val="0"/>
        <w:spacing w:after="0" w:line="240" w:lineRule="auto"/>
        <w:jc w:val="both"/>
        <w:rPr>
          <w:rFonts w:cs="Arial"/>
          <w:color w:val="000000"/>
        </w:rPr>
      </w:pPr>
      <w:r w:rsidRPr="000C1D70">
        <w:rPr>
          <w:rFonts w:cs="Arial"/>
          <w:color w:val="000000"/>
        </w:rPr>
        <w:t xml:space="preserve">La mise à disposition de ces infrastructures de charge dans le cadre du transfert de la compétence « </w:t>
      </w:r>
      <w:r w:rsidRPr="000C1D70">
        <w:rPr>
          <w:rFonts w:cs="Arial"/>
          <w:b/>
          <w:bCs/>
          <w:color w:val="000000"/>
        </w:rPr>
        <w:t xml:space="preserve">IRVE : Infrastructures de charge pour véhicules électriques </w:t>
      </w:r>
      <w:r w:rsidRPr="000C1D70">
        <w:rPr>
          <w:rFonts w:cs="Arial"/>
          <w:color w:val="000000"/>
        </w:rPr>
        <w:t xml:space="preserve">» sera constatée par un procès-verbal établi contradictoirement entre le </w:t>
      </w:r>
      <w:r w:rsidR="00E37838" w:rsidRPr="000C1D70">
        <w:rPr>
          <w:rFonts w:cs="Arial"/>
          <w:color w:val="000000"/>
        </w:rPr>
        <w:t>SDE 07</w:t>
      </w:r>
      <w:r w:rsidRPr="000C1D70">
        <w:rPr>
          <w:rFonts w:cs="Arial"/>
          <w:color w:val="000000"/>
        </w:rPr>
        <w:t xml:space="preserve"> et la collectivité qui a transféré la compétence au vu de cette évaluation.</w:t>
      </w:r>
    </w:p>
    <w:p w:rsidR="00E37838" w:rsidRPr="000C1D70" w:rsidRDefault="00E37838" w:rsidP="007377C8">
      <w:pPr>
        <w:autoSpaceDE w:val="0"/>
        <w:autoSpaceDN w:val="0"/>
        <w:adjustRightInd w:val="0"/>
        <w:spacing w:after="0" w:line="240" w:lineRule="auto"/>
        <w:jc w:val="both"/>
        <w:rPr>
          <w:rFonts w:cs="Arial"/>
          <w:color w:val="000000"/>
          <w:highlight w:val="yellow"/>
        </w:rPr>
      </w:pPr>
    </w:p>
    <w:p w:rsidR="00A60AD6" w:rsidRPr="000C1D70" w:rsidRDefault="00A60AD6" w:rsidP="007377C8">
      <w:pPr>
        <w:autoSpaceDE w:val="0"/>
        <w:autoSpaceDN w:val="0"/>
        <w:adjustRightInd w:val="0"/>
        <w:spacing w:after="0" w:line="240" w:lineRule="auto"/>
        <w:jc w:val="both"/>
        <w:rPr>
          <w:rFonts w:cs="Arial"/>
          <w:color w:val="000000"/>
        </w:rPr>
      </w:pPr>
      <w:r w:rsidRPr="000C1D70">
        <w:rPr>
          <w:rFonts w:cs="Arial"/>
          <w:color w:val="000000"/>
        </w:rPr>
        <w:t xml:space="preserve">Par ailleurs, la collectivité s’engage à soumettre à l’examen et à l’avis (visa) du </w:t>
      </w:r>
      <w:r w:rsidR="00E37838" w:rsidRPr="000C1D70">
        <w:rPr>
          <w:rFonts w:cs="Arial"/>
          <w:color w:val="000000"/>
        </w:rPr>
        <w:t>SDE 07</w:t>
      </w:r>
      <w:r w:rsidRPr="000C1D70">
        <w:rPr>
          <w:rFonts w:cs="Arial"/>
          <w:color w:val="000000"/>
        </w:rPr>
        <w:t xml:space="preserve">, préalablement à la réalisation, tout projet de création d’infrastructures de charge pour véhicules électriques, porté en maîtrise d’ouvrage par un tiers : collectivité, opérateur privé ou opérateur reconnu </w:t>
      </w:r>
      <w:r w:rsidRPr="000C1D70">
        <w:rPr>
          <w:rFonts w:cs="Arial"/>
        </w:rPr>
        <w:t>« opérateur de bornes de charge de dimension nationale » au titre de la loi du 4 août 2014, lotisseur, aménageur public ou privé,...de manière à veiller à la cohérence des différentes initiatives.</w:t>
      </w:r>
    </w:p>
    <w:p w:rsidR="00C43FA4" w:rsidRPr="000C1D70" w:rsidRDefault="00C43FA4"/>
    <w:p w:rsidR="00E37838" w:rsidRPr="000C1D70" w:rsidRDefault="00E37838"/>
    <w:p w:rsidR="00E37838" w:rsidRPr="000C1D70" w:rsidRDefault="00E37838"/>
    <w:p w:rsidR="00E37838" w:rsidRPr="000C1D70" w:rsidRDefault="00E37838"/>
    <w:p w:rsidR="00E37838" w:rsidRPr="000C1D70" w:rsidRDefault="00E37838"/>
    <w:p w:rsidR="007377C8" w:rsidRPr="000C1D70" w:rsidRDefault="007377C8"/>
    <w:p w:rsidR="00E37838" w:rsidRPr="000C1D70" w:rsidRDefault="00E37838"/>
    <w:p w:rsidR="00E37838" w:rsidRPr="000C1D70" w:rsidRDefault="00E37838"/>
    <w:p w:rsidR="00E37838" w:rsidRPr="000C1D70" w:rsidRDefault="00E37838"/>
    <w:p w:rsidR="00E37838" w:rsidRPr="000C1D70" w:rsidRDefault="00E37838"/>
    <w:p w:rsidR="00E37838" w:rsidRPr="000C1D70" w:rsidRDefault="00E37838"/>
    <w:p w:rsidR="00E37838" w:rsidRPr="000C1D70" w:rsidRDefault="00E37838"/>
    <w:p w:rsidR="00E37838" w:rsidRPr="000C1D70" w:rsidRDefault="00E37838"/>
    <w:p w:rsidR="00E37838" w:rsidRPr="000C1D70" w:rsidRDefault="00E37838"/>
    <w:p w:rsidR="00E37838" w:rsidRPr="000C1D70" w:rsidRDefault="00E37838"/>
    <w:p w:rsidR="00E37838" w:rsidRPr="000C1D70" w:rsidRDefault="00E37838" w:rsidP="00084749">
      <w:pPr>
        <w:pStyle w:val="ReglementChapitre"/>
        <w:rPr>
          <w:rFonts w:asciiTheme="minorHAnsi" w:hAnsiTheme="minorHAnsi"/>
        </w:rPr>
      </w:pPr>
      <w:bookmarkStart w:id="7" w:name="_Toc431460265"/>
      <w:r w:rsidRPr="000C1D70">
        <w:rPr>
          <w:rFonts w:asciiTheme="minorHAnsi" w:hAnsiTheme="minorHAnsi"/>
        </w:rPr>
        <w:t>CHAPITRE 2 – CREATION DES INFRASTRUCTURES DE CHARGE</w:t>
      </w:r>
      <w:bookmarkEnd w:id="7"/>
    </w:p>
    <w:p w:rsidR="00E37838" w:rsidRPr="000C1D70" w:rsidRDefault="00E37838" w:rsidP="00E37838">
      <w:pPr>
        <w:autoSpaceDE w:val="0"/>
        <w:autoSpaceDN w:val="0"/>
        <w:adjustRightInd w:val="0"/>
        <w:spacing w:after="0" w:line="240" w:lineRule="auto"/>
        <w:rPr>
          <w:rFonts w:cs="Arial"/>
          <w:b/>
          <w:bCs/>
          <w:sz w:val="26"/>
          <w:szCs w:val="26"/>
        </w:rPr>
      </w:pPr>
    </w:p>
    <w:p w:rsidR="00E37838" w:rsidRPr="000C1D70" w:rsidRDefault="00E37838" w:rsidP="00084749">
      <w:pPr>
        <w:pStyle w:val="Reglementtitre"/>
        <w:rPr>
          <w:rFonts w:asciiTheme="minorHAnsi" w:hAnsiTheme="minorHAnsi"/>
        </w:rPr>
      </w:pPr>
      <w:bookmarkStart w:id="8" w:name="_Toc431460266"/>
      <w:r w:rsidRPr="000C1D70">
        <w:rPr>
          <w:rFonts w:asciiTheme="minorHAnsi" w:hAnsiTheme="minorHAnsi"/>
        </w:rPr>
        <w:t>2.1 Travaux d’investissement</w:t>
      </w:r>
      <w:bookmarkEnd w:id="8"/>
    </w:p>
    <w:p w:rsidR="00E37838" w:rsidRPr="000C1D70" w:rsidRDefault="00E37838" w:rsidP="00E37838">
      <w:pPr>
        <w:autoSpaceDE w:val="0"/>
        <w:autoSpaceDN w:val="0"/>
        <w:adjustRightInd w:val="0"/>
        <w:spacing w:after="0" w:line="240" w:lineRule="auto"/>
        <w:rPr>
          <w:rFonts w:cs="Arial"/>
        </w:rPr>
      </w:pPr>
    </w:p>
    <w:p w:rsidR="00E37838" w:rsidRPr="000C1D70" w:rsidRDefault="00E37838" w:rsidP="0071308A">
      <w:pPr>
        <w:autoSpaceDE w:val="0"/>
        <w:autoSpaceDN w:val="0"/>
        <w:adjustRightInd w:val="0"/>
        <w:spacing w:after="0" w:line="240" w:lineRule="auto"/>
        <w:jc w:val="both"/>
        <w:rPr>
          <w:rFonts w:cs="Arial"/>
        </w:rPr>
      </w:pPr>
      <w:r w:rsidRPr="000C1D70">
        <w:rPr>
          <w:rFonts w:cs="Arial"/>
        </w:rPr>
        <w:t>Les travaux portent sur la création d’infrastructures de charge.</w:t>
      </w:r>
    </w:p>
    <w:p w:rsidR="000A7F52" w:rsidRPr="000C1D70" w:rsidRDefault="000A7F52" w:rsidP="0071308A">
      <w:pPr>
        <w:autoSpaceDE w:val="0"/>
        <w:autoSpaceDN w:val="0"/>
        <w:adjustRightInd w:val="0"/>
        <w:spacing w:after="0" w:line="240" w:lineRule="auto"/>
        <w:jc w:val="both"/>
        <w:rPr>
          <w:rFonts w:cs="Arial"/>
        </w:rPr>
      </w:pPr>
    </w:p>
    <w:p w:rsidR="00E37838" w:rsidRPr="000C1D70" w:rsidRDefault="00E37838" w:rsidP="0071308A">
      <w:pPr>
        <w:autoSpaceDE w:val="0"/>
        <w:autoSpaceDN w:val="0"/>
        <w:adjustRightInd w:val="0"/>
        <w:spacing w:after="0" w:line="240" w:lineRule="auto"/>
        <w:jc w:val="both"/>
        <w:rPr>
          <w:rFonts w:cs="Arial"/>
        </w:rPr>
      </w:pPr>
      <w:r w:rsidRPr="000C1D70">
        <w:rPr>
          <w:rFonts w:cs="Arial"/>
        </w:rPr>
        <w:t xml:space="preserve">Ils sont réalisés sous la maîtrise d’ouvrage du </w:t>
      </w:r>
      <w:r w:rsidR="0071308A" w:rsidRPr="000C1D70">
        <w:rPr>
          <w:rFonts w:cs="Arial"/>
        </w:rPr>
        <w:t>SDE 07</w:t>
      </w:r>
      <w:r w:rsidRPr="000C1D70">
        <w:rPr>
          <w:rFonts w:cs="Arial"/>
        </w:rPr>
        <w:t xml:space="preserve"> et comprennent les opérations de :</w:t>
      </w:r>
    </w:p>
    <w:p w:rsidR="009439FF" w:rsidRPr="000C1D70" w:rsidRDefault="009439FF" w:rsidP="0071308A">
      <w:pPr>
        <w:autoSpaceDE w:val="0"/>
        <w:autoSpaceDN w:val="0"/>
        <w:adjustRightInd w:val="0"/>
        <w:spacing w:after="0" w:line="240" w:lineRule="auto"/>
        <w:jc w:val="both"/>
        <w:rPr>
          <w:rFonts w:cs="Arial"/>
        </w:rPr>
      </w:pPr>
    </w:p>
    <w:p w:rsidR="009439FF" w:rsidRPr="000C1D70" w:rsidRDefault="00E37838" w:rsidP="000A7F52">
      <w:pPr>
        <w:pStyle w:val="Paragraphedeliste"/>
        <w:numPr>
          <w:ilvl w:val="0"/>
          <w:numId w:val="5"/>
        </w:numPr>
        <w:autoSpaceDE w:val="0"/>
        <w:autoSpaceDN w:val="0"/>
        <w:adjustRightInd w:val="0"/>
        <w:spacing w:after="120" w:line="240" w:lineRule="auto"/>
        <w:ind w:left="284" w:hanging="284"/>
        <w:contextualSpacing w:val="0"/>
        <w:jc w:val="both"/>
        <w:rPr>
          <w:rFonts w:cs="Arial"/>
        </w:rPr>
      </w:pPr>
      <w:r w:rsidRPr="000C1D70">
        <w:rPr>
          <w:rFonts w:cs="Arial"/>
        </w:rPr>
        <w:t>Fourniture et pose d’une ou plusieurs bornes</w:t>
      </w:r>
    </w:p>
    <w:p w:rsidR="000A7F52" w:rsidRPr="000C1D70" w:rsidRDefault="0071308A" w:rsidP="000A7F52">
      <w:pPr>
        <w:pStyle w:val="Paragraphedeliste"/>
        <w:numPr>
          <w:ilvl w:val="0"/>
          <w:numId w:val="5"/>
        </w:numPr>
        <w:autoSpaceDE w:val="0"/>
        <w:autoSpaceDN w:val="0"/>
        <w:adjustRightInd w:val="0"/>
        <w:spacing w:after="120" w:line="240" w:lineRule="auto"/>
        <w:ind w:left="284" w:hanging="284"/>
        <w:contextualSpacing w:val="0"/>
        <w:jc w:val="both"/>
        <w:rPr>
          <w:rFonts w:cs="Arial"/>
        </w:rPr>
      </w:pPr>
      <w:r w:rsidRPr="000C1D70">
        <w:rPr>
          <w:rFonts w:cs="Arial"/>
        </w:rPr>
        <w:t>Génie civil et raccordement au réseau de distribution publique d’électricité et de télécommunications, le cas échéant</w:t>
      </w:r>
    </w:p>
    <w:p w:rsidR="009439FF" w:rsidRPr="000C1D70" w:rsidRDefault="00E37838" w:rsidP="000A7F52">
      <w:pPr>
        <w:pStyle w:val="Paragraphedeliste"/>
        <w:numPr>
          <w:ilvl w:val="0"/>
          <w:numId w:val="5"/>
        </w:numPr>
        <w:autoSpaceDE w:val="0"/>
        <w:autoSpaceDN w:val="0"/>
        <w:adjustRightInd w:val="0"/>
        <w:spacing w:after="120" w:line="240" w:lineRule="auto"/>
        <w:ind w:left="284" w:hanging="284"/>
        <w:contextualSpacing w:val="0"/>
        <w:jc w:val="both"/>
        <w:rPr>
          <w:rFonts w:cs="Arial"/>
        </w:rPr>
      </w:pPr>
      <w:r w:rsidRPr="000C1D70">
        <w:rPr>
          <w:rFonts w:cs="Arial"/>
        </w:rPr>
        <w:t>Aménagement avec réalisation de signalétiques horizontales et verticales</w:t>
      </w:r>
    </w:p>
    <w:p w:rsidR="009439FF" w:rsidRPr="000C1D70" w:rsidRDefault="00E37838" w:rsidP="000A7F52">
      <w:pPr>
        <w:pStyle w:val="Paragraphedeliste"/>
        <w:numPr>
          <w:ilvl w:val="0"/>
          <w:numId w:val="5"/>
        </w:numPr>
        <w:autoSpaceDE w:val="0"/>
        <w:autoSpaceDN w:val="0"/>
        <w:adjustRightInd w:val="0"/>
        <w:spacing w:after="120" w:line="240" w:lineRule="auto"/>
        <w:ind w:left="284" w:hanging="284"/>
        <w:contextualSpacing w:val="0"/>
        <w:jc w:val="both"/>
        <w:rPr>
          <w:rFonts w:cs="Arial"/>
        </w:rPr>
      </w:pPr>
      <w:r w:rsidRPr="000C1D70">
        <w:rPr>
          <w:rFonts w:cs="Arial"/>
        </w:rPr>
        <w:t>Equipement des bornes en systèmes de télégestion et interopérabilité</w:t>
      </w:r>
    </w:p>
    <w:p w:rsidR="0071308A" w:rsidRPr="000C1D70" w:rsidRDefault="0071308A" w:rsidP="0071308A">
      <w:pPr>
        <w:autoSpaceDE w:val="0"/>
        <w:autoSpaceDN w:val="0"/>
        <w:adjustRightInd w:val="0"/>
        <w:spacing w:after="0" w:line="240" w:lineRule="auto"/>
        <w:jc w:val="both"/>
        <w:rPr>
          <w:rFonts w:cs="Arial"/>
        </w:rPr>
      </w:pPr>
    </w:p>
    <w:p w:rsidR="00E37838" w:rsidRPr="000C1D70" w:rsidRDefault="00E37838" w:rsidP="0071308A">
      <w:pPr>
        <w:autoSpaceDE w:val="0"/>
        <w:autoSpaceDN w:val="0"/>
        <w:adjustRightInd w:val="0"/>
        <w:spacing w:after="0" w:line="240" w:lineRule="auto"/>
        <w:jc w:val="both"/>
        <w:rPr>
          <w:rFonts w:cs="Arial"/>
        </w:rPr>
      </w:pPr>
      <w:r w:rsidRPr="000C1D70">
        <w:rPr>
          <w:rFonts w:cs="Arial"/>
        </w:rPr>
        <w:t xml:space="preserve">Le </w:t>
      </w:r>
      <w:r w:rsidR="0071308A" w:rsidRPr="000C1D70">
        <w:rPr>
          <w:rFonts w:cs="Arial"/>
        </w:rPr>
        <w:t>SDE 07</w:t>
      </w:r>
      <w:r w:rsidRPr="000C1D70">
        <w:rPr>
          <w:rFonts w:cs="Arial"/>
        </w:rPr>
        <w:t xml:space="preserve">, en concertation avec chaque collectivité, décide du nombre et du lieu d’implantation des infrastructures, en cohérence </w:t>
      </w:r>
      <w:r w:rsidR="0071308A" w:rsidRPr="000C1D70">
        <w:rPr>
          <w:rFonts w:cs="Arial"/>
        </w:rPr>
        <w:t xml:space="preserve">avec le schéma départemental de </w:t>
      </w:r>
      <w:r w:rsidRPr="000C1D70">
        <w:rPr>
          <w:rFonts w:cs="Arial"/>
        </w:rPr>
        <w:t>déploiement de ces infrastructures.</w:t>
      </w:r>
    </w:p>
    <w:p w:rsidR="0071308A" w:rsidRPr="000C1D70" w:rsidRDefault="0071308A" w:rsidP="0071308A">
      <w:pPr>
        <w:autoSpaceDE w:val="0"/>
        <w:autoSpaceDN w:val="0"/>
        <w:adjustRightInd w:val="0"/>
        <w:spacing w:after="0" w:line="240" w:lineRule="auto"/>
        <w:jc w:val="both"/>
        <w:rPr>
          <w:rFonts w:cs="Arial"/>
        </w:rPr>
      </w:pPr>
    </w:p>
    <w:p w:rsidR="00E37838" w:rsidRPr="000C1D70" w:rsidRDefault="00E37838" w:rsidP="0071308A">
      <w:pPr>
        <w:autoSpaceDE w:val="0"/>
        <w:autoSpaceDN w:val="0"/>
        <w:adjustRightInd w:val="0"/>
        <w:spacing w:after="0" w:line="240" w:lineRule="auto"/>
        <w:jc w:val="both"/>
        <w:rPr>
          <w:rFonts w:cs="Arial"/>
        </w:rPr>
      </w:pPr>
      <w:r w:rsidRPr="000C1D70">
        <w:rPr>
          <w:rFonts w:cs="Arial"/>
        </w:rPr>
        <w:t>L’implantation doit répondre notamment aux critères principaux suivants :</w:t>
      </w:r>
    </w:p>
    <w:p w:rsidR="000A7F52" w:rsidRPr="000C1D70" w:rsidRDefault="000A7F52" w:rsidP="0071308A">
      <w:pPr>
        <w:autoSpaceDE w:val="0"/>
        <w:autoSpaceDN w:val="0"/>
        <w:adjustRightInd w:val="0"/>
        <w:spacing w:after="0" w:line="240" w:lineRule="auto"/>
        <w:jc w:val="both"/>
        <w:rPr>
          <w:rFonts w:cs="Arial"/>
        </w:rPr>
      </w:pPr>
    </w:p>
    <w:p w:rsidR="000A7F52" w:rsidRPr="000C1D70" w:rsidRDefault="00E37838" w:rsidP="000A7F52">
      <w:pPr>
        <w:pStyle w:val="Paragraphedeliste"/>
        <w:numPr>
          <w:ilvl w:val="0"/>
          <w:numId w:val="5"/>
        </w:numPr>
        <w:autoSpaceDE w:val="0"/>
        <w:autoSpaceDN w:val="0"/>
        <w:adjustRightInd w:val="0"/>
        <w:spacing w:after="120" w:line="240" w:lineRule="auto"/>
        <w:ind w:left="284" w:hanging="284"/>
        <w:contextualSpacing w:val="0"/>
        <w:jc w:val="both"/>
        <w:rPr>
          <w:rFonts w:cs="Arial"/>
        </w:rPr>
      </w:pPr>
      <w:r w:rsidRPr="000C1D70">
        <w:rPr>
          <w:rFonts w:cs="Arial"/>
        </w:rPr>
        <w:t xml:space="preserve">La possibilité pour la collectivité de mettre à disposition du </w:t>
      </w:r>
      <w:r w:rsidR="0071308A" w:rsidRPr="000C1D70">
        <w:rPr>
          <w:rFonts w:cs="Arial"/>
        </w:rPr>
        <w:t>SDE 07</w:t>
      </w:r>
      <w:r w:rsidRPr="000C1D70">
        <w:rPr>
          <w:rFonts w:cs="Arial"/>
        </w:rPr>
        <w:t xml:space="preserve"> un emplacement d’une surface suffisante pour recevoir le nombre d’infrastructures de charge souhaité et le stationnement de véhicules électriques. Chaque infrastructure est conçue pour accueillir simultanément deux véhicules, et nécessite donc une surface d’environ 35 m2 pour son implantation et l’accessibilité aux personnes à mobilité réduite.</w:t>
      </w:r>
    </w:p>
    <w:p w:rsidR="000A7F52" w:rsidRPr="000C1D70" w:rsidRDefault="00E37838" w:rsidP="000A7F52">
      <w:pPr>
        <w:pStyle w:val="Paragraphedeliste"/>
        <w:numPr>
          <w:ilvl w:val="0"/>
          <w:numId w:val="5"/>
        </w:numPr>
        <w:autoSpaceDE w:val="0"/>
        <w:autoSpaceDN w:val="0"/>
        <w:adjustRightInd w:val="0"/>
        <w:spacing w:after="120" w:line="240" w:lineRule="auto"/>
        <w:ind w:left="284" w:hanging="284"/>
        <w:contextualSpacing w:val="0"/>
        <w:jc w:val="both"/>
        <w:rPr>
          <w:rFonts w:cs="Arial"/>
        </w:rPr>
      </w:pPr>
      <w:r w:rsidRPr="000C1D70">
        <w:rPr>
          <w:rFonts w:cs="Arial"/>
        </w:rPr>
        <w:t xml:space="preserve">La capacité du réseau public de distribution d’électricité à intégrer l’appel de puissance. Au cas par cas, le </w:t>
      </w:r>
      <w:r w:rsidR="0071308A" w:rsidRPr="000C1D70">
        <w:rPr>
          <w:rFonts w:cs="Arial"/>
        </w:rPr>
        <w:t>SDE 07</w:t>
      </w:r>
      <w:r w:rsidRPr="000C1D70">
        <w:rPr>
          <w:rFonts w:cs="Arial"/>
        </w:rPr>
        <w:t xml:space="preserve"> arbitrera entre la nécessité de travaux de renforcements du réseau électriques ou la recherche d’un autre emplacement.</w:t>
      </w:r>
    </w:p>
    <w:p w:rsidR="00E37838" w:rsidRPr="000C1D70" w:rsidRDefault="00E37838" w:rsidP="000A7F52">
      <w:pPr>
        <w:pStyle w:val="Paragraphedeliste"/>
        <w:numPr>
          <w:ilvl w:val="0"/>
          <w:numId w:val="5"/>
        </w:numPr>
        <w:autoSpaceDE w:val="0"/>
        <w:autoSpaceDN w:val="0"/>
        <w:adjustRightInd w:val="0"/>
        <w:spacing w:after="120" w:line="240" w:lineRule="auto"/>
        <w:ind w:left="284" w:hanging="284"/>
        <w:contextualSpacing w:val="0"/>
        <w:jc w:val="both"/>
        <w:rPr>
          <w:rFonts w:cs="Arial"/>
        </w:rPr>
      </w:pPr>
      <w:r w:rsidRPr="000C1D70">
        <w:rPr>
          <w:rFonts w:cs="Arial"/>
        </w:rPr>
        <w:t>La proximité de lieux de vie et de service (proximité de commerces, services publics ou zones d’activité) pour une utilisation optimale des infrastructures.</w:t>
      </w:r>
    </w:p>
    <w:p w:rsidR="00E37838" w:rsidRPr="000C1D70" w:rsidRDefault="00E37838" w:rsidP="00E37838">
      <w:pPr>
        <w:autoSpaceDE w:val="0"/>
        <w:autoSpaceDN w:val="0"/>
        <w:adjustRightInd w:val="0"/>
        <w:spacing w:after="0" w:line="240" w:lineRule="auto"/>
        <w:rPr>
          <w:rFonts w:cs="Arial"/>
          <w:highlight w:val="yellow"/>
        </w:rPr>
      </w:pPr>
    </w:p>
    <w:p w:rsidR="00084749" w:rsidRPr="000C1D70" w:rsidRDefault="00084749" w:rsidP="00084749">
      <w:pPr>
        <w:pStyle w:val="Reglementtitre"/>
        <w:rPr>
          <w:rFonts w:asciiTheme="minorHAnsi" w:hAnsiTheme="minorHAnsi"/>
        </w:rPr>
      </w:pPr>
    </w:p>
    <w:p w:rsidR="00E37838" w:rsidRPr="000C1D70" w:rsidRDefault="00E37838" w:rsidP="00084749">
      <w:pPr>
        <w:pStyle w:val="Reglementtitre"/>
        <w:rPr>
          <w:rFonts w:asciiTheme="minorHAnsi" w:hAnsiTheme="minorHAnsi"/>
        </w:rPr>
      </w:pPr>
      <w:bookmarkStart w:id="9" w:name="_Toc431460267"/>
      <w:r w:rsidRPr="000C1D70">
        <w:rPr>
          <w:rFonts w:asciiTheme="minorHAnsi" w:hAnsiTheme="minorHAnsi"/>
        </w:rPr>
        <w:t>2.2 Mise à disposition du domaine public ou privé communal</w:t>
      </w:r>
      <w:bookmarkEnd w:id="9"/>
    </w:p>
    <w:p w:rsidR="00E37838" w:rsidRPr="000C1D70" w:rsidRDefault="00E37838" w:rsidP="00E37838">
      <w:pPr>
        <w:autoSpaceDE w:val="0"/>
        <w:autoSpaceDN w:val="0"/>
        <w:adjustRightInd w:val="0"/>
        <w:spacing w:after="0" w:line="240" w:lineRule="auto"/>
        <w:rPr>
          <w:rFonts w:cs="Arial"/>
          <w:highlight w:val="yellow"/>
        </w:rPr>
      </w:pPr>
    </w:p>
    <w:p w:rsidR="00E37838" w:rsidRPr="000C1D70" w:rsidRDefault="00E37838" w:rsidP="0071308A">
      <w:pPr>
        <w:autoSpaceDE w:val="0"/>
        <w:autoSpaceDN w:val="0"/>
        <w:adjustRightInd w:val="0"/>
        <w:spacing w:after="0" w:line="240" w:lineRule="auto"/>
        <w:jc w:val="both"/>
        <w:rPr>
          <w:rFonts w:cs="Arial"/>
        </w:rPr>
      </w:pPr>
      <w:r w:rsidRPr="000C1D70">
        <w:rPr>
          <w:rFonts w:cs="Arial"/>
        </w:rPr>
        <w:t xml:space="preserve">La collectivité concernée par la création d’une nouvelle infrastructure de charge sur son territoire, met à disposition du </w:t>
      </w:r>
      <w:r w:rsidR="0071308A" w:rsidRPr="000C1D70">
        <w:rPr>
          <w:rFonts w:cs="Arial"/>
        </w:rPr>
        <w:t>SDE 07</w:t>
      </w:r>
      <w:r w:rsidRPr="000C1D70">
        <w:rPr>
          <w:rFonts w:cs="Arial"/>
        </w:rPr>
        <w:t>, à titre gratuit, les biens nécessaires à l’exercice de la compétence transférée et notamment les terrains d’assiette devant supporter les infrastructures de charge.</w:t>
      </w:r>
    </w:p>
    <w:p w:rsidR="0071308A" w:rsidRPr="000C1D70" w:rsidRDefault="0071308A" w:rsidP="0071308A">
      <w:pPr>
        <w:autoSpaceDE w:val="0"/>
        <w:autoSpaceDN w:val="0"/>
        <w:adjustRightInd w:val="0"/>
        <w:spacing w:after="0" w:line="240" w:lineRule="auto"/>
        <w:jc w:val="both"/>
        <w:rPr>
          <w:rFonts w:cs="Arial"/>
        </w:rPr>
      </w:pPr>
    </w:p>
    <w:p w:rsidR="00E37838" w:rsidRPr="000C1D70" w:rsidRDefault="00E37838" w:rsidP="0071308A">
      <w:pPr>
        <w:autoSpaceDE w:val="0"/>
        <w:autoSpaceDN w:val="0"/>
        <w:adjustRightInd w:val="0"/>
        <w:spacing w:after="0" w:line="240" w:lineRule="auto"/>
        <w:jc w:val="both"/>
        <w:rPr>
          <w:rFonts w:cs="Arial"/>
        </w:rPr>
      </w:pPr>
      <w:r w:rsidRPr="000C1D70">
        <w:rPr>
          <w:rFonts w:cs="Arial"/>
        </w:rPr>
        <w:t>Cette mise à disposition est constatée par un procès-verbal établi contradictoirement entre le</w:t>
      </w:r>
    </w:p>
    <w:p w:rsidR="00E37838" w:rsidRPr="000C1D70" w:rsidRDefault="0071308A" w:rsidP="0071308A">
      <w:pPr>
        <w:jc w:val="both"/>
      </w:pPr>
      <w:r w:rsidRPr="000C1D70">
        <w:rPr>
          <w:rFonts w:cs="Arial"/>
        </w:rPr>
        <w:t>SDE 07</w:t>
      </w:r>
      <w:r w:rsidR="00E37838" w:rsidRPr="000C1D70">
        <w:rPr>
          <w:rFonts w:cs="Arial"/>
        </w:rPr>
        <w:t xml:space="preserve"> et la collectivité concernée.</w:t>
      </w:r>
    </w:p>
    <w:p w:rsidR="00B0015F" w:rsidRPr="000C1D70" w:rsidRDefault="00B0015F"/>
    <w:p w:rsidR="00E37838" w:rsidRPr="000C1D70" w:rsidRDefault="00E37838"/>
    <w:p w:rsidR="000A7F52" w:rsidRPr="000C1D70" w:rsidRDefault="000A7F52"/>
    <w:p w:rsidR="00D44232" w:rsidRPr="000C1D70" w:rsidRDefault="00D44232" w:rsidP="00E37838">
      <w:pPr>
        <w:autoSpaceDE w:val="0"/>
        <w:autoSpaceDN w:val="0"/>
        <w:adjustRightInd w:val="0"/>
        <w:spacing w:after="0" w:line="240" w:lineRule="auto"/>
      </w:pPr>
    </w:p>
    <w:p w:rsidR="00D74C2C" w:rsidRPr="000C1D70" w:rsidRDefault="00D74C2C" w:rsidP="00E37838">
      <w:pPr>
        <w:autoSpaceDE w:val="0"/>
        <w:autoSpaceDN w:val="0"/>
        <w:adjustRightInd w:val="0"/>
        <w:spacing w:after="0" w:line="240" w:lineRule="auto"/>
      </w:pPr>
    </w:p>
    <w:p w:rsidR="00E37838" w:rsidRPr="000C1D70" w:rsidRDefault="00E37838" w:rsidP="00084749">
      <w:pPr>
        <w:pStyle w:val="ReglementChapitre"/>
        <w:rPr>
          <w:rFonts w:asciiTheme="minorHAnsi" w:hAnsiTheme="minorHAnsi"/>
        </w:rPr>
      </w:pPr>
      <w:bookmarkStart w:id="10" w:name="_Toc431460268"/>
      <w:r w:rsidRPr="000C1D70">
        <w:rPr>
          <w:rFonts w:asciiTheme="minorHAnsi" w:hAnsiTheme="minorHAnsi"/>
        </w:rPr>
        <w:t>CHAPITRE 3 – ENTRETIEN DES INFRASTRUCTURES DE CHARGE</w:t>
      </w:r>
      <w:bookmarkEnd w:id="10"/>
    </w:p>
    <w:p w:rsidR="00E37838" w:rsidRPr="000C1D70" w:rsidRDefault="00E37838" w:rsidP="00E37838">
      <w:pPr>
        <w:autoSpaceDE w:val="0"/>
        <w:autoSpaceDN w:val="0"/>
        <w:adjustRightInd w:val="0"/>
        <w:spacing w:after="0" w:line="240" w:lineRule="auto"/>
        <w:rPr>
          <w:rFonts w:cs="Arial"/>
          <w:b/>
          <w:bCs/>
          <w:sz w:val="26"/>
          <w:szCs w:val="26"/>
        </w:rPr>
      </w:pPr>
    </w:p>
    <w:p w:rsidR="00E37838" w:rsidRPr="000C1D70" w:rsidRDefault="00E37838" w:rsidP="00084749">
      <w:pPr>
        <w:pStyle w:val="Reglementtitre"/>
        <w:rPr>
          <w:rFonts w:asciiTheme="minorHAnsi" w:hAnsiTheme="minorHAnsi"/>
        </w:rPr>
      </w:pPr>
      <w:bookmarkStart w:id="11" w:name="_Toc431460269"/>
      <w:r w:rsidRPr="000C1D70">
        <w:rPr>
          <w:rFonts w:asciiTheme="minorHAnsi" w:hAnsiTheme="minorHAnsi"/>
        </w:rPr>
        <w:t>3.1 Etendue des prestations d’entretien</w:t>
      </w:r>
      <w:bookmarkEnd w:id="11"/>
    </w:p>
    <w:p w:rsidR="00D44232" w:rsidRPr="000C1D70" w:rsidRDefault="00D44232" w:rsidP="00E37838">
      <w:pPr>
        <w:autoSpaceDE w:val="0"/>
        <w:autoSpaceDN w:val="0"/>
        <w:adjustRightInd w:val="0"/>
        <w:spacing w:after="0" w:line="240" w:lineRule="auto"/>
        <w:rPr>
          <w:rFonts w:cs="Arial"/>
          <w:highlight w:val="yellow"/>
        </w:rPr>
      </w:pPr>
    </w:p>
    <w:p w:rsidR="00E37838" w:rsidRPr="000C1D70" w:rsidRDefault="00E37838" w:rsidP="007377C8">
      <w:pPr>
        <w:autoSpaceDE w:val="0"/>
        <w:autoSpaceDN w:val="0"/>
        <w:adjustRightInd w:val="0"/>
        <w:spacing w:after="0" w:line="240" w:lineRule="auto"/>
        <w:jc w:val="both"/>
        <w:rPr>
          <w:rFonts w:cs="Arial"/>
        </w:rPr>
      </w:pPr>
      <w:r w:rsidRPr="000C1D70">
        <w:rPr>
          <w:rFonts w:cs="Arial"/>
        </w:rPr>
        <w:t xml:space="preserve">Le </w:t>
      </w:r>
      <w:r w:rsidR="00D44232" w:rsidRPr="000C1D70">
        <w:rPr>
          <w:rFonts w:cs="Arial"/>
        </w:rPr>
        <w:t>SDE 07</w:t>
      </w:r>
      <w:r w:rsidRPr="000C1D70">
        <w:rPr>
          <w:rFonts w:cs="Arial"/>
        </w:rPr>
        <w:t xml:space="preserve"> organise la gestion technique, administrative, patrimoniale des infrastructures de charge. Pour ce faire, il s’engage à réaliser les prestations correspondantes, par ses moyens propres ou des entreprises et prestataires spécialisés choisis par voie de marchés publics </w:t>
      </w:r>
      <w:r w:rsidR="0040704F" w:rsidRPr="000C1D70">
        <w:rPr>
          <w:rFonts w:cs="Arial"/>
        </w:rPr>
        <w:t xml:space="preserve"> </w:t>
      </w:r>
      <w:r w:rsidRPr="000C1D70">
        <w:rPr>
          <w:rFonts w:cs="Arial"/>
        </w:rPr>
        <w:t>attribués après procédure de publicité et de mise en concurrence.</w:t>
      </w:r>
    </w:p>
    <w:p w:rsidR="0040704F" w:rsidRPr="000C1D70" w:rsidRDefault="0040704F" w:rsidP="007377C8">
      <w:pPr>
        <w:autoSpaceDE w:val="0"/>
        <w:autoSpaceDN w:val="0"/>
        <w:adjustRightInd w:val="0"/>
        <w:spacing w:after="0" w:line="240" w:lineRule="auto"/>
        <w:jc w:val="both"/>
        <w:rPr>
          <w:rFonts w:cs="Arial"/>
          <w:highlight w:val="yellow"/>
        </w:rPr>
      </w:pPr>
    </w:p>
    <w:p w:rsidR="00E37838" w:rsidRPr="000C1D70" w:rsidRDefault="00E37838" w:rsidP="007377C8">
      <w:pPr>
        <w:autoSpaceDE w:val="0"/>
        <w:autoSpaceDN w:val="0"/>
        <w:adjustRightInd w:val="0"/>
        <w:spacing w:after="0" w:line="240" w:lineRule="auto"/>
        <w:jc w:val="both"/>
        <w:rPr>
          <w:rFonts w:cs="Arial"/>
        </w:rPr>
      </w:pPr>
      <w:r w:rsidRPr="000C1D70">
        <w:rPr>
          <w:rFonts w:cs="Arial"/>
        </w:rPr>
        <w:t xml:space="preserve">Le </w:t>
      </w:r>
      <w:r w:rsidR="00D44232" w:rsidRPr="000C1D70">
        <w:rPr>
          <w:rFonts w:cs="Arial"/>
        </w:rPr>
        <w:t>SDE 07</w:t>
      </w:r>
      <w:r w:rsidRPr="000C1D70">
        <w:rPr>
          <w:rFonts w:cs="Arial"/>
        </w:rPr>
        <w:t xml:space="preserve">, en tant que maître d’ouvrage, a toutefois la faculté d’interrompre le service pour toutes opérations d’investissement, de mise en conformité et de maintenance des ouvrages ainsi que pour les réparations urgentes que requiert le matériel. Quand les circonstances exigent une intervention immédiate, le </w:t>
      </w:r>
      <w:r w:rsidR="00D44232" w:rsidRPr="000C1D70">
        <w:rPr>
          <w:rFonts w:cs="Arial"/>
        </w:rPr>
        <w:t>SDE 07</w:t>
      </w:r>
      <w:r w:rsidRPr="000C1D70">
        <w:rPr>
          <w:rFonts w:cs="Arial"/>
        </w:rPr>
        <w:t xml:space="preserve"> est autorisé à prendre d’urgence les mesures nécessaires. Ses représentants ou prestataires reçoivent toutes facilités de la part de la collectivité ayant transféré la compétence.</w:t>
      </w:r>
    </w:p>
    <w:p w:rsidR="0040704F" w:rsidRPr="000C1D70" w:rsidRDefault="0040704F" w:rsidP="007377C8">
      <w:pPr>
        <w:autoSpaceDE w:val="0"/>
        <w:autoSpaceDN w:val="0"/>
        <w:adjustRightInd w:val="0"/>
        <w:spacing w:after="0" w:line="240" w:lineRule="auto"/>
        <w:jc w:val="both"/>
        <w:rPr>
          <w:rFonts w:cs="Arial"/>
          <w:highlight w:val="yellow"/>
        </w:rPr>
      </w:pPr>
    </w:p>
    <w:p w:rsidR="00E37838" w:rsidRPr="000C1D70" w:rsidRDefault="00E37838" w:rsidP="007377C8">
      <w:pPr>
        <w:autoSpaceDE w:val="0"/>
        <w:autoSpaceDN w:val="0"/>
        <w:adjustRightInd w:val="0"/>
        <w:spacing w:after="0" w:line="240" w:lineRule="auto"/>
        <w:jc w:val="both"/>
        <w:rPr>
          <w:rFonts w:cs="Arial"/>
        </w:rPr>
      </w:pPr>
      <w:r w:rsidRPr="000C1D70">
        <w:rPr>
          <w:rFonts w:cs="Arial"/>
        </w:rPr>
        <w:t>La collectivité s’interdit formellement toute intervention sur les infrastructures. En cas d’inobservation, la responsabilité du</w:t>
      </w:r>
      <w:r w:rsidR="00D44232" w:rsidRPr="000C1D70">
        <w:rPr>
          <w:rFonts w:cs="Arial"/>
        </w:rPr>
        <w:t xml:space="preserve"> SDE 07</w:t>
      </w:r>
      <w:r w:rsidRPr="000C1D70">
        <w:rPr>
          <w:rFonts w:cs="Arial"/>
        </w:rPr>
        <w:t xml:space="preserve"> ne saurait être retenue si un accident ou dysfonctionnement se produisait sur l’installation.</w:t>
      </w:r>
    </w:p>
    <w:p w:rsidR="0040704F" w:rsidRPr="000C1D70" w:rsidRDefault="0040704F" w:rsidP="007377C8">
      <w:pPr>
        <w:autoSpaceDE w:val="0"/>
        <w:autoSpaceDN w:val="0"/>
        <w:adjustRightInd w:val="0"/>
        <w:spacing w:after="0" w:line="240" w:lineRule="auto"/>
        <w:jc w:val="both"/>
        <w:rPr>
          <w:rFonts w:cs="Arial"/>
          <w:highlight w:val="yellow"/>
        </w:rPr>
      </w:pPr>
    </w:p>
    <w:p w:rsidR="00E37838" w:rsidRPr="000C1D70" w:rsidRDefault="00E37838" w:rsidP="007377C8">
      <w:pPr>
        <w:autoSpaceDE w:val="0"/>
        <w:autoSpaceDN w:val="0"/>
        <w:adjustRightInd w:val="0"/>
        <w:spacing w:after="0" w:line="240" w:lineRule="auto"/>
        <w:jc w:val="both"/>
        <w:rPr>
          <w:rFonts w:cs="Arial"/>
        </w:rPr>
      </w:pPr>
      <w:r w:rsidRPr="000C1D70">
        <w:rPr>
          <w:rFonts w:cs="Arial"/>
        </w:rPr>
        <w:t>L’entretien comprend :</w:t>
      </w:r>
    </w:p>
    <w:p w:rsidR="009439FF" w:rsidRPr="000C1D70" w:rsidRDefault="009439FF" w:rsidP="007377C8">
      <w:pPr>
        <w:autoSpaceDE w:val="0"/>
        <w:autoSpaceDN w:val="0"/>
        <w:adjustRightInd w:val="0"/>
        <w:spacing w:after="0" w:line="240" w:lineRule="auto"/>
        <w:jc w:val="both"/>
        <w:rPr>
          <w:rFonts w:cs="Arial"/>
        </w:rPr>
      </w:pPr>
    </w:p>
    <w:p w:rsidR="009439FF" w:rsidRPr="000C1D70" w:rsidRDefault="00E37838" w:rsidP="000A7F52">
      <w:pPr>
        <w:autoSpaceDE w:val="0"/>
        <w:autoSpaceDN w:val="0"/>
        <w:adjustRightInd w:val="0"/>
        <w:spacing w:after="120" w:line="240" w:lineRule="auto"/>
        <w:jc w:val="both"/>
        <w:rPr>
          <w:rFonts w:cs="Arial"/>
        </w:rPr>
      </w:pPr>
      <w:r w:rsidRPr="000C1D70">
        <w:rPr>
          <w:rFonts w:cs="Arial"/>
        </w:rPr>
        <w:t>- Les opérations d’entretien préventif</w:t>
      </w:r>
    </w:p>
    <w:p w:rsidR="009439FF" w:rsidRPr="000C1D70" w:rsidRDefault="00E37838" w:rsidP="000A7F52">
      <w:pPr>
        <w:autoSpaceDE w:val="0"/>
        <w:autoSpaceDN w:val="0"/>
        <w:adjustRightInd w:val="0"/>
        <w:spacing w:after="120" w:line="240" w:lineRule="auto"/>
        <w:jc w:val="both"/>
        <w:rPr>
          <w:rFonts w:cs="Arial"/>
        </w:rPr>
      </w:pPr>
      <w:r w:rsidRPr="000C1D70">
        <w:rPr>
          <w:rFonts w:cs="Arial"/>
        </w:rPr>
        <w:t>- Les prestations de dépannage et réparation y compris réparation en cas de sinistre</w:t>
      </w:r>
    </w:p>
    <w:p w:rsidR="00E37838" w:rsidRPr="000C1D70" w:rsidRDefault="00D863F0" w:rsidP="000A7F52">
      <w:pPr>
        <w:autoSpaceDE w:val="0"/>
        <w:autoSpaceDN w:val="0"/>
        <w:adjustRightInd w:val="0"/>
        <w:spacing w:after="120" w:line="240" w:lineRule="auto"/>
        <w:jc w:val="both"/>
        <w:rPr>
          <w:rFonts w:cs="Arial"/>
        </w:rPr>
      </w:pPr>
      <w:r w:rsidRPr="000C1D70">
        <w:rPr>
          <w:rFonts w:cs="Arial"/>
        </w:rPr>
        <w:t xml:space="preserve">- </w:t>
      </w:r>
      <w:r w:rsidR="00E37838" w:rsidRPr="000C1D70">
        <w:rPr>
          <w:rFonts w:cs="Arial"/>
        </w:rPr>
        <w:t>Toute opération nécessaire au bon fonctionnement des infrastructures</w:t>
      </w:r>
    </w:p>
    <w:p w:rsidR="00E37838" w:rsidRPr="000C1D70" w:rsidRDefault="00E37838" w:rsidP="00E37838">
      <w:pPr>
        <w:autoSpaceDE w:val="0"/>
        <w:autoSpaceDN w:val="0"/>
        <w:adjustRightInd w:val="0"/>
        <w:spacing w:after="0" w:line="240" w:lineRule="auto"/>
        <w:rPr>
          <w:rFonts w:cs="Arial"/>
          <w:b/>
          <w:bCs/>
          <w:sz w:val="26"/>
          <w:szCs w:val="26"/>
          <w:highlight w:val="yellow"/>
        </w:rPr>
      </w:pPr>
    </w:p>
    <w:p w:rsidR="00084749" w:rsidRPr="000C1D70" w:rsidRDefault="00084749" w:rsidP="00084749">
      <w:pPr>
        <w:pStyle w:val="Reglementtitre"/>
        <w:rPr>
          <w:rFonts w:asciiTheme="minorHAnsi" w:hAnsiTheme="minorHAnsi"/>
        </w:rPr>
      </w:pPr>
    </w:p>
    <w:p w:rsidR="00E37838" w:rsidRPr="000C1D70" w:rsidRDefault="00E37838" w:rsidP="00084749">
      <w:pPr>
        <w:pStyle w:val="Reglementtitre"/>
        <w:rPr>
          <w:rFonts w:asciiTheme="minorHAnsi" w:hAnsiTheme="minorHAnsi"/>
        </w:rPr>
      </w:pPr>
      <w:bookmarkStart w:id="12" w:name="_Toc431460270"/>
      <w:r w:rsidRPr="000C1D70">
        <w:rPr>
          <w:rFonts w:asciiTheme="minorHAnsi" w:hAnsiTheme="minorHAnsi"/>
        </w:rPr>
        <w:t>3.2 Dépannage et réparation</w:t>
      </w:r>
      <w:bookmarkEnd w:id="12"/>
    </w:p>
    <w:p w:rsidR="0040704F" w:rsidRPr="000C1D70" w:rsidRDefault="0040704F" w:rsidP="00E37838">
      <w:pPr>
        <w:autoSpaceDE w:val="0"/>
        <w:autoSpaceDN w:val="0"/>
        <w:adjustRightInd w:val="0"/>
        <w:spacing w:after="0" w:line="240" w:lineRule="auto"/>
        <w:rPr>
          <w:rFonts w:cs="Arial"/>
          <w:highlight w:val="yellow"/>
        </w:rPr>
      </w:pPr>
    </w:p>
    <w:p w:rsidR="00E37838" w:rsidRPr="000C1D70" w:rsidRDefault="00E37838" w:rsidP="007377C8">
      <w:pPr>
        <w:autoSpaceDE w:val="0"/>
        <w:autoSpaceDN w:val="0"/>
        <w:adjustRightInd w:val="0"/>
        <w:spacing w:after="0" w:line="240" w:lineRule="auto"/>
        <w:jc w:val="both"/>
        <w:rPr>
          <w:rFonts w:cs="Arial"/>
        </w:rPr>
      </w:pPr>
      <w:r w:rsidRPr="000C1D70">
        <w:rPr>
          <w:rFonts w:cs="Arial"/>
        </w:rPr>
        <w:t>Chaque infrastructure est dotée d’un système de communication, qui permet de renvoyer des informations vers un dispositif de supervision pour son exploitation et informer de la disponibilité et des défauts de fonctionnement éventuels des infrastructures.</w:t>
      </w:r>
    </w:p>
    <w:p w:rsidR="0040704F" w:rsidRPr="000C1D70" w:rsidRDefault="0040704F" w:rsidP="007377C8">
      <w:pPr>
        <w:autoSpaceDE w:val="0"/>
        <w:autoSpaceDN w:val="0"/>
        <w:adjustRightInd w:val="0"/>
        <w:spacing w:after="0" w:line="240" w:lineRule="auto"/>
        <w:jc w:val="both"/>
        <w:rPr>
          <w:rFonts w:cs="Arial"/>
        </w:rPr>
      </w:pPr>
    </w:p>
    <w:p w:rsidR="00E37838" w:rsidRPr="000C1D70" w:rsidRDefault="00E37838" w:rsidP="007377C8">
      <w:pPr>
        <w:autoSpaceDE w:val="0"/>
        <w:autoSpaceDN w:val="0"/>
        <w:adjustRightInd w:val="0"/>
        <w:spacing w:after="0" w:line="240" w:lineRule="auto"/>
        <w:jc w:val="both"/>
        <w:rPr>
          <w:rFonts w:cs="Arial"/>
        </w:rPr>
      </w:pPr>
      <w:r w:rsidRPr="000C1D70">
        <w:rPr>
          <w:rFonts w:cs="Arial"/>
        </w:rPr>
        <w:t xml:space="preserve">Le </w:t>
      </w:r>
      <w:r w:rsidR="0040704F" w:rsidRPr="000C1D70">
        <w:rPr>
          <w:rFonts w:cs="Arial"/>
        </w:rPr>
        <w:t>SDE 07</w:t>
      </w:r>
      <w:r w:rsidRPr="000C1D70">
        <w:rPr>
          <w:rFonts w:cs="Arial"/>
        </w:rPr>
        <w:t xml:space="preserve"> fixe les délais de dépannage et d’intervention en fonction de la nature des dysfonctionnements, dont il informe la collectivité.</w:t>
      </w:r>
    </w:p>
    <w:p w:rsidR="0040704F" w:rsidRPr="000C1D70" w:rsidRDefault="0040704F" w:rsidP="007377C8">
      <w:pPr>
        <w:autoSpaceDE w:val="0"/>
        <w:autoSpaceDN w:val="0"/>
        <w:adjustRightInd w:val="0"/>
        <w:spacing w:after="0" w:line="240" w:lineRule="auto"/>
        <w:jc w:val="both"/>
        <w:rPr>
          <w:rFonts w:cs="Arial"/>
        </w:rPr>
      </w:pPr>
    </w:p>
    <w:p w:rsidR="00E37838" w:rsidRPr="000C1D70" w:rsidRDefault="00E37838" w:rsidP="007377C8">
      <w:pPr>
        <w:autoSpaceDE w:val="0"/>
        <w:autoSpaceDN w:val="0"/>
        <w:adjustRightInd w:val="0"/>
        <w:spacing w:after="0" w:line="240" w:lineRule="auto"/>
        <w:jc w:val="both"/>
        <w:rPr>
          <w:rFonts w:cs="Arial"/>
        </w:rPr>
      </w:pPr>
      <w:r w:rsidRPr="000C1D70">
        <w:rPr>
          <w:rFonts w:cs="Arial"/>
        </w:rPr>
        <w:t>Dans le cadre des marchés d’exploitation/maintenance, un service d’astreinte est organisé.</w:t>
      </w:r>
    </w:p>
    <w:p w:rsidR="00E37838" w:rsidRPr="000C1D70" w:rsidRDefault="00E37838" w:rsidP="00E37838">
      <w:pPr>
        <w:autoSpaceDE w:val="0"/>
        <w:autoSpaceDN w:val="0"/>
        <w:adjustRightInd w:val="0"/>
        <w:spacing w:after="0" w:line="240" w:lineRule="auto"/>
        <w:rPr>
          <w:rFonts w:cs="Arial"/>
          <w:b/>
          <w:bCs/>
          <w:sz w:val="26"/>
          <w:szCs w:val="26"/>
          <w:highlight w:val="yellow"/>
        </w:rPr>
      </w:pPr>
    </w:p>
    <w:p w:rsidR="00084749" w:rsidRPr="000C1D70" w:rsidRDefault="00084749" w:rsidP="00084749">
      <w:pPr>
        <w:pStyle w:val="Reglementtitre"/>
        <w:rPr>
          <w:rFonts w:asciiTheme="minorHAnsi" w:hAnsiTheme="minorHAnsi"/>
        </w:rPr>
      </w:pPr>
    </w:p>
    <w:p w:rsidR="00E37838" w:rsidRPr="000C1D70" w:rsidRDefault="00E37838" w:rsidP="00084749">
      <w:pPr>
        <w:pStyle w:val="Reglementtitre"/>
        <w:rPr>
          <w:rFonts w:asciiTheme="minorHAnsi" w:hAnsiTheme="minorHAnsi"/>
        </w:rPr>
      </w:pPr>
      <w:bookmarkStart w:id="13" w:name="_Toc431460271"/>
      <w:r w:rsidRPr="000C1D70">
        <w:rPr>
          <w:rFonts w:asciiTheme="minorHAnsi" w:hAnsiTheme="minorHAnsi"/>
        </w:rPr>
        <w:t>3.3 Autres opérations de maintenance et d’entretien</w:t>
      </w:r>
      <w:bookmarkEnd w:id="13"/>
    </w:p>
    <w:p w:rsidR="0040704F" w:rsidRPr="000C1D70" w:rsidRDefault="0040704F" w:rsidP="00E37838">
      <w:pPr>
        <w:autoSpaceDE w:val="0"/>
        <w:autoSpaceDN w:val="0"/>
        <w:adjustRightInd w:val="0"/>
        <w:spacing w:after="0" w:line="240" w:lineRule="auto"/>
        <w:rPr>
          <w:rFonts w:cs="Arial"/>
          <w:highlight w:val="yellow"/>
        </w:rPr>
      </w:pPr>
    </w:p>
    <w:p w:rsidR="00E37838" w:rsidRPr="000C1D70" w:rsidRDefault="00E37838" w:rsidP="007377C8">
      <w:pPr>
        <w:autoSpaceDE w:val="0"/>
        <w:autoSpaceDN w:val="0"/>
        <w:adjustRightInd w:val="0"/>
        <w:spacing w:after="0" w:line="240" w:lineRule="auto"/>
        <w:jc w:val="both"/>
        <w:rPr>
          <w:rFonts w:cs="Arial"/>
        </w:rPr>
      </w:pPr>
      <w:r w:rsidRPr="000C1D70">
        <w:rPr>
          <w:rFonts w:cs="Arial"/>
        </w:rPr>
        <w:t xml:space="preserve">Le </w:t>
      </w:r>
      <w:r w:rsidR="0040704F" w:rsidRPr="000C1D70">
        <w:rPr>
          <w:rFonts w:cs="Arial"/>
        </w:rPr>
        <w:t>SDE 07</w:t>
      </w:r>
      <w:r w:rsidRPr="000C1D70">
        <w:rPr>
          <w:rFonts w:cs="Arial"/>
        </w:rPr>
        <w:t xml:space="preserve"> programme au titre des opérations de maintenance préventive, des interventions sur les infrastructures, notamment pour effectuer un nettoyage, des mises à jour, les vérifications et contrôles électriques nécessaires.</w:t>
      </w:r>
    </w:p>
    <w:p w:rsidR="00E37838" w:rsidRPr="000C1D70" w:rsidRDefault="00E37838" w:rsidP="00E37838">
      <w:pPr>
        <w:autoSpaceDE w:val="0"/>
        <w:autoSpaceDN w:val="0"/>
        <w:adjustRightInd w:val="0"/>
        <w:spacing w:after="0" w:line="240" w:lineRule="auto"/>
        <w:rPr>
          <w:rFonts w:cs="Arial"/>
          <w:b/>
          <w:bCs/>
          <w:sz w:val="26"/>
          <w:szCs w:val="26"/>
          <w:highlight w:val="yellow"/>
        </w:rPr>
      </w:pPr>
    </w:p>
    <w:p w:rsidR="009439FF" w:rsidRPr="000C1D70" w:rsidRDefault="009439FF" w:rsidP="00E37838">
      <w:pPr>
        <w:autoSpaceDE w:val="0"/>
        <w:autoSpaceDN w:val="0"/>
        <w:adjustRightInd w:val="0"/>
        <w:spacing w:after="0" w:line="240" w:lineRule="auto"/>
        <w:rPr>
          <w:rFonts w:cs="Arial"/>
          <w:b/>
          <w:bCs/>
          <w:sz w:val="26"/>
          <w:szCs w:val="26"/>
          <w:highlight w:val="yellow"/>
        </w:rPr>
      </w:pPr>
    </w:p>
    <w:p w:rsidR="00C22103" w:rsidRPr="000C1D70" w:rsidRDefault="00C22103" w:rsidP="00E37838">
      <w:pPr>
        <w:autoSpaceDE w:val="0"/>
        <w:autoSpaceDN w:val="0"/>
        <w:adjustRightInd w:val="0"/>
        <w:spacing w:after="0" w:line="240" w:lineRule="auto"/>
        <w:rPr>
          <w:rFonts w:cs="Arial"/>
          <w:b/>
          <w:bCs/>
          <w:sz w:val="26"/>
          <w:szCs w:val="26"/>
          <w:highlight w:val="yellow"/>
        </w:rPr>
      </w:pPr>
    </w:p>
    <w:p w:rsidR="00C22103" w:rsidRPr="000C1D70" w:rsidRDefault="00C22103" w:rsidP="00E37838">
      <w:pPr>
        <w:autoSpaceDE w:val="0"/>
        <w:autoSpaceDN w:val="0"/>
        <w:adjustRightInd w:val="0"/>
        <w:spacing w:after="0" w:line="240" w:lineRule="auto"/>
        <w:rPr>
          <w:rFonts w:cs="Arial"/>
          <w:b/>
          <w:bCs/>
          <w:sz w:val="26"/>
          <w:szCs w:val="26"/>
          <w:highlight w:val="yellow"/>
        </w:rPr>
      </w:pPr>
    </w:p>
    <w:p w:rsidR="00C22103" w:rsidRPr="000C1D70" w:rsidRDefault="00C22103" w:rsidP="00E37838">
      <w:pPr>
        <w:autoSpaceDE w:val="0"/>
        <w:autoSpaceDN w:val="0"/>
        <w:adjustRightInd w:val="0"/>
        <w:spacing w:after="0" w:line="240" w:lineRule="auto"/>
        <w:rPr>
          <w:rFonts w:cs="Arial"/>
          <w:b/>
          <w:bCs/>
          <w:sz w:val="26"/>
          <w:szCs w:val="26"/>
          <w:highlight w:val="yellow"/>
        </w:rPr>
      </w:pPr>
    </w:p>
    <w:p w:rsidR="00C22103" w:rsidRPr="000C1D70" w:rsidRDefault="00C22103" w:rsidP="00E37838">
      <w:pPr>
        <w:autoSpaceDE w:val="0"/>
        <w:autoSpaceDN w:val="0"/>
        <w:adjustRightInd w:val="0"/>
        <w:spacing w:after="0" w:line="240" w:lineRule="auto"/>
        <w:rPr>
          <w:rFonts w:cs="Arial"/>
          <w:b/>
          <w:bCs/>
          <w:sz w:val="26"/>
          <w:szCs w:val="26"/>
          <w:highlight w:val="yellow"/>
        </w:rPr>
      </w:pPr>
    </w:p>
    <w:p w:rsidR="00C22103" w:rsidRPr="000C1D70" w:rsidRDefault="00C22103" w:rsidP="00E37838">
      <w:pPr>
        <w:autoSpaceDE w:val="0"/>
        <w:autoSpaceDN w:val="0"/>
        <w:adjustRightInd w:val="0"/>
        <w:spacing w:after="0" w:line="240" w:lineRule="auto"/>
        <w:rPr>
          <w:rFonts w:cs="Arial"/>
          <w:b/>
          <w:bCs/>
          <w:sz w:val="26"/>
          <w:szCs w:val="26"/>
          <w:highlight w:val="yellow"/>
        </w:rPr>
      </w:pPr>
    </w:p>
    <w:p w:rsidR="00E37838" w:rsidRPr="000C1D70" w:rsidRDefault="00E37838" w:rsidP="00084749">
      <w:pPr>
        <w:pStyle w:val="Reglementtitre"/>
        <w:rPr>
          <w:rFonts w:asciiTheme="minorHAnsi" w:hAnsiTheme="minorHAnsi"/>
        </w:rPr>
      </w:pPr>
      <w:bookmarkStart w:id="14" w:name="_Toc431460272"/>
      <w:r w:rsidRPr="000C1D70">
        <w:rPr>
          <w:rFonts w:asciiTheme="minorHAnsi" w:hAnsiTheme="minorHAnsi"/>
        </w:rPr>
        <w:t>3.4 Dommages causés aux infrastructures</w:t>
      </w:r>
      <w:bookmarkEnd w:id="14"/>
    </w:p>
    <w:p w:rsidR="0040704F" w:rsidRPr="000C1D70" w:rsidRDefault="0040704F" w:rsidP="00E37838">
      <w:pPr>
        <w:autoSpaceDE w:val="0"/>
        <w:autoSpaceDN w:val="0"/>
        <w:adjustRightInd w:val="0"/>
        <w:spacing w:after="0" w:line="240" w:lineRule="auto"/>
        <w:rPr>
          <w:rFonts w:cs="Arial"/>
          <w:highlight w:val="yellow"/>
        </w:rPr>
      </w:pPr>
    </w:p>
    <w:p w:rsidR="00E37838" w:rsidRPr="000C1D70" w:rsidRDefault="00E37838" w:rsidP="007377C8">
      <w:pPr>
        <w:autoSpaceDE w:val="0"/>
        <w:autoSpaceDN w:val="0"/>
        <w:adjustRightInd w:val="0"/>
        <w:spacing w:after="0" w:line="240" w:lineRule="auto"/>
        <w:jc w:val="both"/>
        <w:rPr>
          <w:rFonts w:cs="Arial"/>
        </w:rPr>
      </w:pPr>
      <w:r w:rsidRPr="000C1D70">
        <w:rPr>
          <w:rFonts w:cs="Arial"/>
        </w:rPr>
        <w:t xml:space="preserve">Les dommages consécutifs à un accident, à un acte de vandalisme ou à un vol, sont gérés par le </w:t>
      </w:r>
      <w:r w:rsidR="0040704F" w:rsidRPr="000C1D70">
        <w:rPr>
          <w:rFonts w:cs="Arial"/>
        </w:rPr>
        <w:t>SDE 07</w:t>
      </w:r>
      <w:r w:rsidRPr="000C1D70">
        <w:rPr>
          <w:rFonts w:cs="Arial"/>
        </w:rPr>
        <w:t xml:space="preserve"> :</w:t>
      </w:r>
    </w:p>
    <w:p w:rsidR="009439FF" w:rsidRPr="000C1D70" w:rsidRDefault="009439FF" w:rsidP="007377C8">
      <w:pPr>
        <w:autoSpaceDE w:val="0"/>
        <w:autoSpaceDN w:val="0"/>
        <w:adjustRightInd w:val="0"/>
        <w:spacing w:after="0" w:line="240" w:lineRule="auto"/>
        <w:jc w:val="both"/>
        <w:rPr>
          <w:rFonts w:cs="Arial"/>
        </w:rPr>
      </w:pPr>
    </w:p>
    <w:p w:rsidR="009439FF" w:rsidRPr="000C1D70" w:rsidRDefault="00E37838" w:rsidP="000A7F52">
      <w:pPr>
        <w:autoSpaceDE w:val="0"/>
        <w:autoSpaceDN w:val="0"/>
        <w:adjustRightInd w:val="0"/>
        <w:spacing w:after="120" w:line="240" w:lineRule="auto"/>
        <w:jc w:val="both"/>
        <w:rPr>
          <w:rFonts w:cs="Arial"/>
        </w:rPr>
      </w:pPr>
      <w:r w:rsidRPr="000C1D70">
        <w:rPr>
          <w:rFonts w:cs="Arial"/>
        </w:rPr>
        <w:t xml:space="preserve">- Le tiers est identifié et se déclare auprès du </w:t>
      </w:r>
      <w:r w:rsidR="0040704F" w:rsidRPr="000C1D70">
        <w:rPr>
          <w:rFonts w:cs="Arial"/>
        </w:rPr>
        <w:t>SDE 07</w:t>
      </w:r>
      <w:r w:rsidRPr="000C1D70">
        <w:rPr>
          <w:rFonts w:cs="Arial"/>
        </w:rPr>
        <w:t xml:space="preserve"> : le syndicat traite directement le dossier. Les travaux sont réalisés par le </w:t>
      </w:r>
      <w:r w:rsidR="0040704F" w:rsidRPr="000C1D70">
        <w:rPr>
          <w:rFonts w:cs="Arial"/>
        </w:rPr>
        <w:t>SDE 07</w:t>
      </w:r>
      <w:r w:rsidRPr="000C1D70">
        <w:rPr>
          <w:rFonts w:cs="Arial"/>
        </w:rPr>
        <w:t xml:space="preserve"> et financés par l’assureur du tiers ou le tiers lui-même.</w:t>
      </w:r>
    </w:p>
    <w:p w:rsidR="009439FF" w:rsidRPr="000C1D70" w:rsidRDefault="00E37838" w:rsidP="000A7F52">
      <w:pPr>
        <w:autoSpaceDE w:val="0"/>
        <w:autoSpaceDN w:val="0"/>
        <w:adjustRightInd w:val="0"/>
        <w:spacing w:after="120" w:line="240" w:lineRule="auto"/>
        <w:jc w:val="both"/>
        <w:rPr>
          <w:rFonts w:cs="Arial"/>
        </w:rPr>
      </w:pPr>
      <w:r w:rsidRPr="000C1D70">
        <w:rPr>
          <w:rFonts w:cs="Arial"/>
        </w:rPr>
        <w:t xml:space="preserve">- Le tiers est identifié mais ne se déclare pas : le </w:t>
      </w:r>
      <w:r w:rsidR="0040704F" w:rsidRPr="000C1D70">
        <w:rPr>
          <w:rFonts w:cs="Arial"/>
        </w:rPr>
        <w:t>SDE 07</w:t>
      </w:r>
      <w:r w:rsidRPr="000C1D70">
        <w:rPr>
          <w:rFonts w:cs="Arial"/>
        </w:rPr>
        <w:t xml:space="preserve"> porte plainte et déclare le dommage. Si le tiers est reconnu responsable du dommage, le dossier est traité de la même façon que dans le cas précédent. Si le tiers n’est pas reconnu responsable, les travaux sont alors réalisés et financés par le </w:t>
      </w:r>
      <w:r w:rsidR="009439FF" w:rsidRPr="000C1D70">
        <w:rPr>
          <w:rFonts w:cs="Arial"/>
        </w:rPr>
        <w:t>Syndicat</w:t>
      </w:r>
      <w:r w:rsidR="000A7F52" w:rsidRPr="000C1D70">
        <w:rPr>
          <w:rFonts w:cs="Arial"/>
        </w:rPr>
        <w:t>.</w:t>
      </w:r>
    </w:p>
    <w:p w:rsidR="00E37838" w:rsidRPr="000C1D70" w:rsidRDefault="00E37838" w:rsidP="000A7F52">
      <w:pPr>
        <w:autoSpaceDE w:val="0"/>
        <w:autoSpaceDN w:val="0"/>
        <w:adjustRightInd w:val="0"/>
        <w:spacing w:after="120" w:line="240" w:lineRule="auto"/>
        <w:jc w:val="both"/>
        <w:rPr>
          <w:rFonts w:cs="Arial"/>
        </w:rPr>
      </w:pPr>
      <w:r w:rsidRPr="000C1D70">
        <w:rPr>
          <w:rFonts w:cs="Arial"/>
        </w:rPr>
        <w:t xml:space="preserve">- Le tiers n’est pas identifié : le </w:t>
      </w:r>
      <w:r w:rsidR="0040704F" w:rsidRPr="000C1D70">
        <w:rPr>
          <w:rFonts w:cs="Arial"/>
        </w:rPr>
        <w:t>SDE 07</w:t>
      </w:r>
      <w:r w:rsidRPr="000C1D70">
        <w:rPr>
          <w:rFonts w:cs="Arial"/>
        </w:rPr>
        <w:t xml:space="preserve"> porte plainte et déclare le dommage, les travaux sont alors réalisés et financés par le </w:t>
      </w:r>
      <w:r w:rsidR="009439FF" w:rsidRPr="000C1D70">
        <w:rPr>
          <w:rFonts w:cs="Arial"/>
        </w:rPr>
        <w:t>Syndicat</w:t>
      </w:r>
      <w:r w:rsidRPr="000C1D70">
        <w:rPr>
          <w:rFonts w:cs="Arial"/>
        </w:rPr>
        <w:t>.</w:t>
      </w:r>
    </w:p>
    <w:p w:rsidR="00E37838" w:rsidRPr="000C1D70" w:rsidRDefault="00E37838" w:rsidP="000A7F52">
      <w:pPr>
        <w:autoSpaceDE w:val="0"/>
        <w:autoSpaceDN w:val="0"/>
        <w:adjustRightInd w:val="0"/>
        <w:spacing w:after="120" w:line="240" w:lineRule="auto"/>
        <w:jc w:val="both"/>
        <w:rPr>
          <w:rFonts w:cs="Arial"/>
        </w:rPr>
      </w:pPr>
      <w:r w:rsidRPr="000C1D70">
        <w:rPr>
          <w:rFonts w:cs="Arial"/>
        </w:rPr>
        <w:t xml:space="preserve">La collectivité fait diligence pour signaler au </w:t>
      </w:r>
      <w:r w:rsidR="0040704F" w:rsidRPr="000C1D70">
        <w:rPr>
          <w:rFonts w:cs="Arial"/>
        </w:rPr>
        <w:t>SDE 07</w:t>
      </w:r>
      <w:r w:rsidRPr="000C1D70">
        <w:rPr>
          <w:rFonts w:cs="Arial"/>
        </w:rPr>
        <w:t xml:space="preserve"> tout sinistre constaté sur les infrastructures de charge sur son territoire en lui fournissant un rapport détaillé. Le rapport précise notamment la description des dommages : conséquences sur les biens et les personnes.</w:t>
      </w:r>
    </w:p>
    <w:p w:rsidR="00E37838" w:rsidRPr="000C1D70" w:rsidRDefault="00E37838" w:rsidP="00E37838">
      <w:pPr>
        <w:autoSpaceDE w:val="0"/>
        <w:autoSpaceDN w:val="0"/>
        <w:adjustRightInd w:val="0"/>
        <w:spacing w:after="0" w:line="240" w:lineRule="auto"/>
        <w:rPr>
          <w:rFonts w:cs="Arial"/>
          <w:b/>
          <w:bCs/>
          <w:sz w:val="26"/>
          <w:szCs w:val="26"/>
          <w:highlight w:val="yellow"/>
        </w:rPr>
      </w:pPr>
    </w:p>
    <w:p w:rsidR="00E37838" w:rsidRPr="000C1D70" w:rsidRDefault="00E37838" w:rsidP="00E37838">
      <w:pPr>
        <w:autoSpaceDE w:val="0"/>
        <w:autoSpaceDN w:val="0"/>
        <w:adjustRightInd w:val="0"/>
        <w:spacing w:after="0" w:line="240" w:lineRule="auto"/>
        <w:rPr>
          <w:rFonts w:cs="Arial"/>
          <w:b/>
          <w:bCs/>
          <w:sz w:val="26"/>
          <w:szCs w:val="26"/>
          <w:highlight w:val="yellow"/>
        </w:rPr>
      </w:pPr>
    </w:p>
    <w:p w:rsidR="00E37838" w:rsidRPr="000C1D70" w:rsidRDefault="00E37838" w:rsidP="00084749">
      <w:pPr>
        <w:pStyle w:val="Reglementtitre"/>
        <w:rPr>
          <w:rFonts w:asciiTheme="minorHAnsi" w:hAnsiTheme="minorHAnsi"/>
        </w:rPr>
      </w:pPr>
      <w:bookmarkStart w:id="15" w:name="_Toc431460273"/>
      <w:r w:rsidRPr="000C1D70">
        <w:rPr>
          <w:rFonts w:asciiTheme="minorHAnsi" w:hAnsiTheme="minorHAnsi"/>
        </w:rPr>
        <w:t>3.5 Cartographie et suivi du patrimoine</w:t>
      </w:r>
      <w:bookmarkEnd w:id="15"/>
    </w:p>
    <w:p w:rsidR="00E37838" w:rsidRPr="000C1D70" w:rsidRDefault="00E37838" w:rsidP="00E37838">
      <w:pPr>
        <w:autoSpaceDE w:val="0"/>
        <w:autoSpaceDN w:val="0"/>
        <w:adjustRightInd w:val="0"/>
        <w:spacing w:after="0" w:line="240" w:lineRule="auto"/>
        <w:rPr>
          <w:rFonts w:cs="Arial"/>
          <w:highlight w:val="yellow"/>
        </w:rPr>
      </w:pPr>
    </w:p>
    <w:p w:rsidR="00E37838" w:rsidRPr="000C1D70" w:rsidRDefault="00E37838" w:rsidP="007377C8">
      <w:pPr>
        <w:autoSpaceDE w:val="0"/>
        <w:autoSpaceDN w:val="0"/>
        <w:adjustRightInd w:val="0"/>
        <w:spacing w:after="0" w:line="240" w:lineRule="auto"/>
        <w:jc w:val="both"/>
        <w:rPr>
          <w:rFonts w:cs="Arial"/>
        </w:rPr>
      </w:pPr>
      <w:r w:rsidRPr="000C1D70">
        <w:rPr>
          <w:rFonts w:cs="Arial"/>
        </w:rPr>
        <w:t xml:space="preserve">Le </w:t>
      </w:r>
      <w:r w:rsidR="0040704F" w:rsidRPr="000C1D70">
        <w:rPr>
          <w:rFonts w:cs="Arial"/>
        </w:rPr>
        <w:t>SDE 07</w:t>
      </w:r>
      <w:r w:rsidRPr="000C1D70">
        <w:rPr>
          <w:rFonts w:cs="Arial"/>
        </w:rPr>
        <w:t xml:space="preserve"> élabore puis actualise, en fonction de l’évolution des installations, une cartographique numérique géo référencée des ouvrages.</w:t>
      </w:r>
    </w:p>
    <w:p w:rsidR="0040704F" w:rsidRPr="000C1D70" w:rsidRDefault="0040704F" w:rsidP="007377C8">
      <w:pPr>
        <w:autoSpaceDE w:val="0"/>
        <w:autoSpaceDN w:val="0"/>
        <w:adjustRightInd w:val="0"/>
        <w:spacing w:after="0" w:line="240" w:lineRule="auto"/>
        <w:jc w:val="both"/>
        <w:rPr>
          <w:rFonts w:cs="Arial"/>
        </w:rPr>
      </w:pPr>
    </w:p>
    <w:p w:rsidR="00E37838" w:rsidRPr="000C1D70" w:rsidRDefault="00E37838" w:rsidP="007377C8">
      <w:pPr>
        <w:autoSpaceDE w:val="0"/>
        <w:autoSpaceDN w:val="0"/>
        <w:adjustRightInd w:val="0"/>
        <w:spacing w:after="0" w:line="240" w:lineRule="auto"/>
        <w:jc w:val="both"/>
        <w:rPr>
          <w:rFonts w:cs="Arial"/>
        </w:rPr>
      </w:pPr>
      <w:r w:rsidRPr="000C1D70">
        <w:rPr>
          <w:rFonts w:cs="Arial"/>
        </w:rPr>
        <w:t xml:space="preserve">Le </w:t>
      </w:r>
      <w:r w:rsidR="0040704F" w:rsidRPr="000C1D70">
        <w:rPr>
          <w:rFonts w:cs="Arial"/>
        </w:rPr>
        <w:t>SDE 07</w:t>
      </w:r>
      <w:r w:rsidRPr="000C1D70">
        <w:rPr>
          <w:rFonts w:cs="Arial"/>
        </w:rPr>
        <w:t xml:space="preserve"> se charge de déclarer les ouvrages auprès du guichet unique et de répondre aux</w:t>
      </w:r>
    </w:p>
    <w:p w:rsidR="00E37838" w:rsidRPr="000C1D70" w:rsidRDefault="00E37838" w:rsidP="007377C8">
      <w:pPr>
        <w:autoSpaceDE w:val="0"/>
        <w:autoSpaceDN w:val="0"/>
        <w:adjustRightInd w:val="0"/>
        <w:spacing w:after="0" w:line="240" w:lineRule="auto"/>
        <w:jc w:val="both"/>
        <w:rPr>
          <w:rFonts w:cs="Arial"/>
        </w:rPr>
      </w:pPr>
      <w:r w:rsidRPr="000C1D70">
        <w:rPr>
          <w:rFonts w:cs="Arial"/>
        </w:rPr>
        <w:t>Déclarations de Travaux (DT) et Déclarations d’Intention d</w:t>
      </w:r>
      <w:r w:rsidR="00D863F0" w:rsidRPr="000C1D70">
        <w:rPr>
          <w:rFonts w:cs="Arial"/>
        </w:rPr>
        <w:t xml:space="preserve">e Commencement de Travaux </w:t>
      </w:r>
      <w:r w:rsidRPr="000C1D70">
        <w:rPr>
          <w:rFonts w:cs="Arial"/>
        </w:rPr>
        <w:t>(DICT).</w:t>
      </w:r>
    </w:p>
    <w:p w:rsidR="0040704F" w:rsidRPr="000C1D70" w:rsidRDefault="0040704F" w:rsidP="007377C8">
      <w:pPr>
        <w:autoSpaceDE w:val="0"/>
        <w:autoSpaceDN w:val="0"/>
        <w:adjustRightInd w:val="0"/>
        <w:spacing w:after="0" w:line="240" w:lineRule="auto"/>
        <w:jc w:val="both"/>
        <w:rPr>
          <w:rFonts w:cs="Arial"/>
          <w:highlight w:val="yellow"/>
        </w:rPr>
      </w:pPr>
    </w:p>
    <w:p w:rsidR="00E37838" w:rsidRPr="000C1D70" w:rsidRDefault="00E37838" w:rsidP="007377C8">
      <w:pPr>
        <w:autoSpaceDE w:val="0"/>
        <w:autoSpaceDN w:val="0"/>
        <w:adjustRightInd w:val="0"/>
        <w:spacing w:after="0" w:line="240" w:lineRule="auto"/>
        <w:jc w:val="both"/>
        <w:rPr>
          <w:rFonts w:cs="Arial"/>
        </w:rPr>
      </w:pPr>
      <w:r w:rsidRPr="000C1D70">
        <w:rPr>
          <w:rFonts w:cs="Arial"/>
        </w:rPr>
        <w:t xml:space="preserve">Conformément aux exigences posées par le dispositif d’aide de l’ADEME, le </w:t>
      </w:r>
      <w:r w:rsidR="0040704F" w:rsidRPr="000C1D70">
        <w:rPr>
          <w:rFonts w:cs="Arial"/>
        </w:rPr>
        <w:t>SDE 07</w:t>
      </w:r>
      <w:r w:rsidRPr="000C1D70">
        <w:rPr>
          <w:rFonts w:cs="Arial"/>
        </w:rPr>
        <w:t xml:space="preserve"> met à disposition différents types d’informations afférentes aux infrastructures de charge :</w:t>
      </w:r>
    </w:p>
    <w:p w:rsidR="009439FF" w:rsidRPr="000C1D70" w:rsidRDefault="009439FF" w:rsidP="007377C8">
      <w:pPr>
        <w:autoSpaceDE w:val="0"/>
        <w:autoSpaceDN w:val="0"/>
        <w:adjustRightInd w:val="0"/>
        <w:spacing w:after="0" w:line="240" w:lineRule="auto"/>
        <w:jc w:val="both"/>
        <w:rPr>
          <w:rFonts w:cs="Arial"/>
        </w:rPr>
      </w:pPr>
    </w:p>
    <w:p w:rsidR="009439FF" w:rsidRPr="000C1D70" w:rsidRDefault="00D863F0" w:rsidP="000A7F52">
      <w:pPr>
        <w:pStyle w:val="Paragraphedeliste"/>
        <w:numPr>
          <w:ilvl w:val="0"/>
          <w:numId w:val="4"/>
        </w:numPr>
        <w:autoSpaceDE w:val="0"/>
        <w:autoSpaceDN w:val="0"/>
        <w:adjustRightInd w:val="0"/>
        <w:spacing w:after="120" w:line="240" w:lineRule="auto"/>
        <w:ind w:left="284" w:hanging="284"/>
        <w:contextualSpacing w:val="0"/>
        <w:jc w:val="both"/>
        <w:rPr>
          <w:rFonts w:cs="Arial"/>
        </w:rPr>
      </w:pPr>
      <w:r w:rsidRPr="000C1D70">
        <w:rPr>
          <w:rFonts w:cs="Arial"/>
        </w:rPr>
        <w:t>I</w:t>
      </w:r>
      <w:r w:rsidR="00E37838" w:rsidRPr="000C1D70">
        <w:rPr>
          <w:rFonts w:cs="Arial"/>
        </w:rPr>
        <w:t>l rend disponibles les données sur l’infrastructure déployée et toutes ses évolutions afin qu’elles soient répertoriées dans un répertoire central ouvert ;</w:t>
      </w:r>
    </w:p>
    <w:p w:rsidR="009439FF" w:rsidRPr="000C1D70" w:rsidRDefault="00D863F0" w:rsidP="000A7F52">
      <w:pPr>
        <w:pStyle w:val="Paragraphedeliste"/>
        <w:numPr>
          <w:ilvl w:val="0"/>
          <w:numId w:val="4"/>
        </w:numPr>
        <w:autoSpaceDE w:val="0"/>
        <w:autoSpaceDN w:val="0"/>
        <w:adjustRightInd w:val="0"/>
        <w:spacing w:after="120" w:line="240" w:lineRule="auto"/>
        <w:ind w:left="284" w:hanging="284"/>
        <w:contextualSpacing w:val="0"/>
        <w:jc w:val="both"/>
        <w:rPr>
          <w:rFonts w:cs="Arial"/>
        </w:rPr>
      </w:pPr>
      <w:r w:rsidRPr="000C1D70">
        <w:rPr>
          <w:rFonts w:cs="Arial"/>
        </w:rPr>
        <w:t>I</w:t>
      </w:r>
      <w:r w:rsidR="00E37838" w:rsidRPr="000C1D70">
        <w:rPr>
          <w:rFonts w:cs="Arial"/>
        </w:rPr>
        <w:t>l renvoie les données essentielles sur l’infrastructure déployée à la plateforme open data gouvernementale des données publiques (www.data.gouv.fr) de façon à ce qu’elles puissent faire l’objet d’un recensement national.</w:t>
      </w:r>
    </w:p>
    <w:p w:rsidR="00E37838" w:rsidRPr="000C1D70" w:rsidRDefault="00D863F0" w:rsidP="000A7F52">
      <w:pPr>
        <w:pStyle w:val="Paragraphedeliste"/>
        <w:numPr>
          <w:ilvl w:val="0"/>
          <w:numId w:val="4"/>
        </w:numPr>
        <w:autoSpaceDE w:val="0"/>
        <w:autoSpaceDN w:val="0"/>
        <w:adjustRightInd w:val="0"/>
        <w:spacing w:after="120" w:line="240" w:lineRule="auto"/>
        <w:ind w:left="284" w:hanging="284"/>
        <w:contextualSpacing w:val="0"/>
        <w:jc w:val="both"/>
        <w:rPr>
          <w:rFonts w:cs="Arial"/>
        </w:rPr>
      </w:pPr>
      <w:r w:rsidRPr="000C1D70">
        <w:rPr>
          <w:rFonts w:cs="Arial"/>
        </w:rPr>
        <w:t>I</w:t>
      </w:r>
      <w:r w:rsidR="00E37838" w:rsidRPr="000C1D70">
        <w:rPr>
          <w:rFonts w:cs="Arial"/>
        </w:rPr>
        <w:t xml:space="preserve">l rend disponible, auprès d’une plateforme nationale ouverte, les informations relatives à la </w:t>
      </w:r>
      <w:proofErr w:type="spellStart"/>
      <w:r w:rsidR="00E37838" w:rsidRPr="000C1D70">
        <w:rPr>
          <w:rFonts w:cs="Arial"/>
        </w:rPr>
        <w:t>géo-localisation</w:t>
      </w:r>
      <w:proofErr w:type="spellEnd"/>
      <w:r w:rsidR="00E37838" w:rsidRPr="000C1D70">
        <w:rPr>
          <w:rFonts w:cs="Arial"/>
        </w:rPr>
        <w:t>, au mode de charge, à la puissance délivrée, à la disponibilité et au mode de tarification des infrastructures de charge.</w:t>
      </w:r>
    </w:p>
    <w:p w:rsidR="00E37838" w:rsidRPr="000C1D70" w:rsidRDefault="00E37838" w:rsidP="00E37838">
      <w:pPr>
        <w:autoSpaceDE w:val="0"/>
        <w:autoSpaceDN w:val="0"/>
        <w:adjustRightInd w:val="0"/>
        <w:spacing w:after="0" w:line="240" w:lineRule="auto"/>
        <w:rPr>
          <w:rFonts w:cs="Arial"/>
          <w:b/>
          <w:bCs/>
          <w:sz w:val="26"/>
          <w:szCs w:val="26"/>
          <w:highlight w:val="yellow"/>
        </w:rPr>
      </w:pPr>
    </w:p>
    <w:p w:rsidR="009439FF" w:rsidRPr="000C1D70" w:rsidRDefault="009439FF" w:rsidP="00084749">
      <w:pPr>
        <w:pStyle w:val="Reglementtitre"/>
        <w:rPr>
          <w:rFonts w:asciiTheme="minorHAnsi" w:hAnsiTheme="minorHAnsi"/>
        </w:rPr>
      </w:pPr>
      <w:bookmarkStart w:id="16" w:name="_Toc431460274"/>
    </w:p>
    <w:p w:rsidR="00E37838" w:rsidRPr="000C1D70" w:rsidRDefault="00E37838" w:rsidP="00084749">
      <w:pPr>
        <w:pStyle w:val="Reglementtitre"/>
        <w:rPr>
          <w:rFonts w:asciiTheme="minorHAnsi" w:hAnsiTheme="minorHAnsi"/>
        </w:rPr>
      </w:pPr>
      <w:r w:rsidRPr="000C1D70">
        <w:rPr>
          <w:rFonts w:asciiTheme="minorHAnsi" w:hAnsiTheme="minorHAnsi"/>
        </w:rPr>
        <w:t>3.6 Déplacement d’ouvrages</w:t>
      </w:r>
      <w:bookmarkEnd w:id="16"/>
    </w:p>
    <w:p w:rsidR="00E37838" w:rsidRPr="000C1D70" w:rsidRDefault="00E37838" w:rsidP="00E37838">
      <w:pPr>
        <w:autoSpaceDE w:val="0"/>
        <w:autoSpaceDN w:val="0"/>
        <w:adjustRightInd w:val="0"/>
        <w:spacing w:after="0" w:line="240" w:lineRule="auto"/>
        <w:rPr>
          <w:rFonts w:cs="Arial"/>
        </w:rPr>
      </w:pPr>
    </w:p>
    <w:p w:rsidR="00E37838" w:rsidRPr="000C1D70" w:rsidRDefault="00E37838" w:rsidP="007377C8">
      <w:pPr>
        <w:autoSpaceDE w:val="0"/>
        <w:autoSpaceDN w:val="0"/>
        <w:adjustRightInd w:val="0"/>
        <w:spacing w:after="0" w:line="240" w:lineRule="auto"/>
        <w:jc w:val="both"/>
        <w:rPr>
          <w:rFonts w:cs="Arial"/>
        </w:rPr>
      </w:pPr>
      <w:r w:rsidRPr="000C1D70">
        <w:rPr>
          <w:rFonts w:cs="Arial"/>
        </w:rPr>
        <w:lastRenderedPageBreak/>
        <w:t xml:space="preserve">S’il y a nécessité de déplacement ou de protection d’une infrastructure de charge ou de son environnement (borne, réseau, équipements), les travaux de déplacement ou de modification des ouvrages correspondants sont réalisés par le </w:t>
      </w:r>
      <w:r w:rsidR="0040704F" w:rsidRPr="000C1D70">
        <w:rPr>
          <w:rFonts w:cs="Arial"/>
        </w:rPr>
        <w:t>SDE 07</w:t>
      </w:r>
      <w:r w:rsidRPr="000C1D70">
        <w:rPr>
          <w:rFonts w:cs="Arial"/>
        </w:rPr>
        <w:t xml:space="preserve"> après accord de la collectivité.</w:t>
      </w:r>
    </w:p>
    <w:p w:rsidR="00E37838" w:rsidRPr="000C1D70" w:rsidRDefault="00E37838" w:rsidP="007377C8">
      <w:pPr>
        <w:autoSpaceDE w:val="0"/>
        <w:autoSpaceDN w:val="0"/>
        <w:adjustRightInd w:val="0"/>
        <w:spacing w:after="0" w:line="240" w:lineRule="auto"/>
        <w:jc w:val="both"/>
        <w:rPr>
          <w:rFonts w:cs="Arial"/>
        </w:rPr>
      </w:pPr>
      <w:r w:rsidRPr="000C1D70">
        <w:rPr>
          <w:rFonts w:cs="Arial"/>
        </w:rPr>
        <w:t>Le cas échéant, la charge financière des travaux de déplacement est répercutée aux demandeurs du déplacement d’ouvrage.</w:t>
      </w:r>
    </w:p>
    <w:p w:rsidR="00C22103" w:rsidRPr="000C1D70" w:rsidRDefault="00C22103" w:rsidP="00E37838">
      <w:pPr>
        <w:rPr>
          <w:rFonts w:cs="Arial"/>
        </w:rPr>
      </w:pPr>
    </w:p>
    <w:p w:rsidR="00E37838" w:rsidRPr="000C1D70" w:rsidRDefault="00E37838" w:rsidP="00084749">
      <w:pPr>
        <w:pStyle w:val="ReglementChapitre"/>
        <w:rPr>
          <w:rFonts w:asciiTheme="minorHAnsi" w:hAnsiTheme="minorHAnsi"/>
        </w:rPr>
      </w:pPr>
      <w:bookmarkStart w:id="17" w:name="_Toc431460275"/>
      <w:r w:rsidRPr="000C1D70">
        <w:rPr>
          <w:rFonts w:asciiTheme="minorHAnsi" w:hAnsiTheme="minorHAnsi"/>
        </w:rPr>
        <w:t>CHAPITRE 4 – GESTION DES INFRASTRUCTURES DE CHARGE</w:t>
      </w:r>
      <w:bookmarkEnd w:id="17"/>
    </w:p>
    <w:p w:rsidR="00E37838" w:rsidRPr="000C1D70" w:rsidRDefault="00E37838" w:rsidP="00084749">
      <w:pPr>
        <w:pStyle w:val="Reglementtitre"/>
        <w:rPr>
          <w:rFonts w:asciiTheme="minorHAnsi" w:hAnsiTheme="minorHAnsi"/>
        </w:rPr>
      </w:pPr>
    </w:p>
    <w:p w:rsidR="00E37838" w:rsidRPr="000C1D70" w:rsidRDefault="00E37838" w:rsidP="00084749">
      <w:pPr>
        <w:pStyle w:val="Reglementtitre"/>
        <w:rPr>
          <w:rFonts w:asciiTheme="minorHAnsi" w:hAnsiTheme="minorHAnsi"/>
        </w:rPr>
      </w:pPr>
      <w:bookmarkStart w:id="18" w:name="_Toc431460276"/>
      <w:r w:rsidRPr="000C1D70">
        <w:rPr>
          <w:rFonts w:asciiTheme="minorHAnsi" w:hAnsiTheme="minorHAnsi"/>
        </w:rPr>
        <w:t>4.1 L’accès aux infrastructures de charge</w:t>
      </w:r>
      <w:bookmarkEnd w:id="18"/>
    </w:p>
    <w:p w:rsidR="0040704F" w:rsidRPr="000C1D70" w:rsidRDefault="0040704F" w:rsidP="00E37838">
      <w:pPr>
        <w:autoSpaceDE w:val="0"/>
        <w:autoSpaceDN w:val="0"/>
        <w:adjustRightInd w:val="0"/>
        <w:spacing w:after="0" w:line="240" w:lineRule="auto"/>
        <w:rPr>
          <w:rFonts w:cs="Arial"/>
          <w:color w:val="000000"/>
          <w:highlight w:val="yellow"/>
        </w:rPr>
      </w:pPr>
    </w:p>
    <w:p w:rsidR="00E37838" w:rsidRPr="000C1D70" w:rsidRDefault="00E37838" w:rsidP="007377C8">
      <w:pPr>
        <w:autoSpaceDE w:val="0"/>
        <w:autoSpaceDN w:val="0"/>
        <w:adjustRightInd w:val="0"/>
        <w:spacing w:after="0" w:line="240" w:lineRule="auto"/>
        <w:jc w:val="both"/>
        <w:rPr>
          <w:rFonts w:cs="Arial"/>
          <w:color w:val="000000"/>
        </w:rPr>
      </w:pPr>
      <w:r w:rsidRPr="000C1D70">
        <w:rPr>
          <w:rFonts w:cs="Arial"/>
          <w:color w:val="000000"/>
        </w:rPr>
        <w:t>Les infrastructures sont accessibles aux usagers 24 h sur 24h, tous les jours de l’année.</w:t>
      </w:r>
    </w:p>
    <w:p w:rsidR="009439FF" w:rsidRPr="000C1D70" w:rsidRDefault="009439FF" w:rsidP="007377C8">
      <w:pPr>
        <w:autoSpaceDE w:val="0"/>
        <w:autoSpaceDN w:val="0"/>
        <w:adjustRightInd w:val="0"/>
        <w:spacing w:after="0" w:line="240" w:lineRule="auto"/>
        <w:jc w:val="both"/>
        <w:rPr>
          <w:rFonts w:cs="Arial"/>
          <w:color w:val="000000"/>
        </w:rPr>
      </w:pPr>
    </w:p>
    <w:p w:rsidR="00E37838" w:rsidRPr="000C1D70" w:rsidRDefault="00E37838" w:rsidP="007377C8">
      <w:pPr>
        <w:autoSpaceDE w:val="0"/>
        <w:autoSpaceDN w:val="0"/>
        <w:adjustRightInd w:val="0"/>
        <w:spacing w:after="0" w:line="240" w:lineRule="auto"/>
        <w:jc w:val="both"/>
        <w:rPr>
          <w:rFonts w:cs="Arial"/>
          <w:color w:val="000000"/>
        </w:rPr>
      </w:pPr>
      <w:r w:rsidRPr="000C1D70">
        <w:rPr>
          <w:rFonts w:cs="Arial"/>
          <w:color w:val="000000"/>
        </w:rPr>
        <w:t>Les usagers devront s’identifier sur l’infrastructure. Pour ce faire, ils disposeront au minimum d’un badge de type RFID (</w:t>
      </w:r>
      <w:r w:rsidRPr="000C1D70">
        <w:rPr>
          <w:rFonts w:cs="Arial"/>
          <w:color w:val="545454"/>
        </w:rPr>
        <w:t>Radio Fréquence Identification</w:t>
      </w:r>
      <w:r w:rsidRPr="000C1D70">
        <w:rPr>
          <w:rFonts w:cs="Arial"/>
          <w:color w:val="000000"/>
        </w:rPr>
        <w:t xml:space="preserve">) dans un premier temps, dont l’obtention se fera auprès des services du </w:t>
      </w:r>
      <w:r w:rsidR="0040704F" w:rsidRPr="000C1D70">
        <w:rPr>
          <w:rFonts w:cs="Arial"/>
          <w:color w:val="000000"/>
        </w:rPr>
        <w:t>SDE 07</w:t>
      </w:r>
      <w:r w:rsidRPr="000C1D70">
        <w:rPr>
          <w:rFonts w:cs="Arial"/>
          <w:color w:val="000000"/>
        </w:rPr>
        <w:t xml:space="preserve"> ou éventuellement de son représentant au titre d’un contrat d’exploitation. En fonction de l’évolution des technologies et des coûts associés, d’autres systèmes d’identification pourront être envisagés.</w:t>
      </w:r>
    </w:p>
    <w:p w:rsidR="009439FF" w:rsidRPr="000C1D70" w:rsidRDefault="009439FF" w:rsidP="007377C8">
      <w:pPr>
        <w:autoSpaceDE w:val="0"/>
        <w:autoSpaceDN w:val="0"/>
        <w:adjustRightInd w:val="0"/>
        <w:spacing w:after="0" w:line="240" w:lineRule="auto"/>
        <w:jc w:val="both"/>
        <w:rPr>
          <w:rFonts w:cs="Arial"/>
          <w:color w:val="000000"/>
        </w:rPr>
      </w:pPr>
    </w:p>
    <w:p w:rsidR="00E37838" w:rsidRPr="000C1D70" w:rsidRDefault="00E37838" w:rsidP="007377C8">
      <w:pPr>
        <w:autoSpaceDE w:val="0"/>
        <w:autoSpaceDN w:val="0"/>
        <w:adjustRightInd w:val="0"/>
        <w:spacing w:after="0" w:line="240" w:lineRule="auto"/>
        <w:jc w:val="both"/>
        <w:rPr>
          <w:rFonts w:cs="Arial"/>
          <w:color w:val="000000"/>
        </w:rPr>
      </w:pPr>
      <w:r w:rsidRPr="000C1D70">
        <w:rPr>
          <w:rFonts w:cs="Arial"/>
          <w:color w:val="000000"/>
        </w:rPr>
        <w:t>Le système d’identification sera couplé avec un système de paiement.</w:t>
      </w:r>
    </w:p>
    <w:p w:rsidR="009439FF" w:rsidRPr="000C1D70" w:rsidRDefault="009439FF" w:rsidP="007377C8">
      <w:pPr>
        <w:autoSpaceDE w:val="0"/>
        <w:autoSpaceDN w:val="0"/>
        <w:adjustRightInd w:val="0"/>
        <w:spacing w:after="0" w:line="240" w:lineRule="auto"/>
        <w:jc w:val="both"/>
        <w:rPr>
          <w:rFonts w:cs="Arial"/>
          <w:color w:val="000000"/>
        </w:rPr>
      </w:pPr>
    </w:p>
    <w:p w:rsidR="00E37838" w:rsidRPr="000C1D70" w:rsidRDefault="00E37838" w:rsidP="007377C8">
      <w:pPr>
        <w:autoSpaceDE w:val="0"/>
        <w:autoSpaceDN w:val="0"/>
        <w:adjustRightInd w:val="0"/>
        <w:spacing w:after="0" w:line="240" w:lineRule="auto"/>
        <w:jc w:val="both"/>
        <w:rPr>
          <w:rFonts w:cs="Arial"/>
          <w:color w:val="000000"/>
        </w:rPr>
      </w:pPr>
      <w:r w:rsidRPr="000C1D70">
        <w:rPr>
          <w:rFonts w:cs="Arial"/>
          <w:color w:val="000000"/>
        </w:rPr>
        <w:t xml:space="preserve">Le réseau construit et exploité par le </w:t>
      </w:r>
      <w:r w:rsidR="0040704F" w:rsidRPr="000C1D70">
        <w:rPr>
          <w:rFonts w:cs="Arial"/>
          <w:color w:val="000000"/>
        </w:rPr>
        <w:t>SDE 07</w:t>
      </w:r>
      <w:r w:rsidRPr="000C1D70">
        <w:rPr>
          <w:rFonts w:cs="Arial"/>
          <w:color w:val="000000"/>
        </w:rPr>
        <w:t xml:space="preserve"> accueille tout usager, qui pourra bénéficier du service de charge sur la totalité des infrastructures exploitées par le </w:t>
      </w:r>
      <w:r w:rsidR="0040704F" w:rsidRPr="000C1D70">
        <w:rPr>
          <w:rFonts w:cs="Arial"/>
          <w:color w:val="000000"/>
        </w:rPr>
        <w:t>SDE 07</w:t>
      </w:r>
      <w:r w:rsidRPr="000C1D70">
        <w:rPr>
          <w:rFonts w:cs="Arial"/>
          <w:color w:val="000000"/>
        </w:rPr>
        <w:t>.</w:t>
      </w:r>
    </w:p>
    <w:p w:rsidR="00E37838" w:rsidRPr="000C1D70" w:rsidRDefault="00E37838" w:rsidP="00E37838">
      <w:pPr>
        <w:autoSpaceDE w:val="0"/>
        <w:autoSpaceDN w:val="0"/>
        <w:adjustRightInd w:val="0"/>
        <w:spacing w:after="0" w:line="240" w:lineRule="auto"/>
        <w:rPr>
          <w:rFonts w:cs="Arial"/>
          <w:b/>
          <w:bCs/>
          <w:color w:val="000000"/>
          <w:sz w:val="26"/>
          <w:szCs w:val="26"/>
          <w:highlight w:val="yellow"/>
        </w:rPr>
      </w:pPr>
    </w:p>
    <w:p w:rsidR="009439FF" w:rsidRPr="000C1D70" w:rsidRDefault="009439FF" w:rsidP="00E37838">
      <w:pPr>
        <w:autoSpaceDE w:val="0"/>
        <w:autoSpaceDN w:val="0"/>
        <w:adjustRightInd w:val="0"/>
        <w:spacing w:after="0" w:line="240" w:lineRule="auto"/>
        <w:rPr>
          <w:rFonts w:cs="Arial"/>
          <w:b/>
          <w:bCs/>
          <w:color w:val="000000"/>
          <w:sz w:val="26"/>
          <w:szCs w:val="26"/>
          <w:highlight w:val="yellow"/>
        </w:rPr>
      </w:pPr>
    </w:p>
    <w:p w:rsidR="00E37838" w:rsidRPr="000C1D70" w:rsidRDefault="00E37838" w:rsidP="00084749">
      <w:pPr>
        <w:pStyle w:val="Reglementtitre"/>
        <w:rPr>
          <w:rFonts w:asciiTheme="minorHAnsi" w:hAnsiTheme="minorHAnsi"/>
        </w:rPr>
      </w:pPr>
      <w:bookmarkStart w:id="19" w:name="_Toc431460277"/>
      <w:r w:rsidRPr="000C1D70">
        <w:rPr>
          <w:rFonts w:asciiTheme="minorHAnsi" w:hAnsiTheme="minorHAnsi"/>
        </w:rPr>
        <w:t>4.2 Le stationnement</w:t>
      </w:r>
      <w:bookmarkEnd w:id="19"/>
    </w:p>
    <w:p w:rsidR="0040704F" w:rsidRPr="000C1D70" w:rsidRDefault="0040704F" w:rsidP="00E37838">
      <w:pPr>
        <w:autoSpaceDE w:val="0"/>
        <w:autoSpaceDN w:val="0"/>
        <w:adjustRightInd w:val="0"/>
        <w:spacing w:after="0" w:line="240" w:lineRule="auto"/>
        <w:rPr>
          <w:rFonts w:cs="Arial"/>
          <w:color w:val="000000"/>
        </w:rPr>
      </w:pPr>
    </w:p>
    <w:p w:rsidR="00E37838" w:rsidRPr="000C1D70" w:rsidRDefault="00E37838" w:rsidP="00F23438">
      <w:pPr>
        <w:autoSpaceDE w:val="0"/>
        <w:autoSpaceDN w:val="0"/>
        <w:adjustRightInd w:val="0"/>
        <w:spacing w:after="0" w:line="240" w:lineRule="auto"/>
        <w:jc w:val="both"/>
        <w:rPr>
          <w:rFonts w:cs="Arial"/>
          <w:color w:val="000000"/>
        </w:rPr>
      </w:pPr>
      <w:r w:rsidRPr="000C1D70">
        <w:rPr>
          <w:rFonts w:cs="Arial"/>
          <w:color w:val="000000"/>
        </w:rPr>
        <w:t xml:space="preserve">Chaque collectivité membre ayant transféré sa compétence au </w:t>
      </w:r>
      <w:r w:rsidR="0040704F" w:rsidRPr="000C1D70">
        <w:rPr>
          <w:rFonts w:cs="Arial"/>
          <w:color w:val="000000"/>
        </w:rPr>
        <w:t>SDE 07</w:t>
      </w:r>
      <w:r w:rsidRPr="000C1D70">
        <w:rPr>
          <w:rFonts w:cs="Arial"/>
          <w:color w:val="000000"/>
        </w:rPr>
        <w:t xml:space="preserve"> s’engage à ce que le stationnement des véhicules électriques et hybrides sur l’ensemble de son territoire soit </w:t>
      </w:r>
      <w:r w:rsidRPr="000C1D70">
        <w:rPr>
          <w:rFonts w:cs="Arial"/>
          <w:b/>
          <w:bCs/>
          <w:color w:val="000000"/>
        </w:rPr>
        <w:t>gratuit pour un durée minimale de deux heures et ce, durant au moins les deux</w:t>
      </w:r>
      <w:r w:rsidRPr="000C1D70">
        <w:rPr>
          <w:rFonts w:cs="Arial"/>
          <w:color w:val="000000"/>
        </w:rPr>
        <w:t xml:space="preserve"> </w:t>
      </w:r>
      <w:r w:rsidRPr="000C1D70">
        <w:rPr>
          <w:rFonts w:cs="Arial"/>
          <w:b/>
          <w:bCs/>
          <w:color w:val="000000"/>
        </w:rPr>
        <w:t>premières années qui suivent la mise en service de l’infrastructure de charge</w:t>
      </w:r>
      <w:r w:rsidRPr="000C1D70">
        <w:rPr>
          <w:rFonts w:cs="Arial"/>
          <w:color w:val="000000"/>
        </w:rPr>
        <w:t>.</w:t>
      </w:r>
    </w:p>
    <w:p w:rsidR="0040704F" w:rsidRPr="000C1D70" w:rsidRDefault="0040704F" w:rsidP="00F23438">
      <w:pPr>
        <w:autoSpaceDE w:val="0"/>
        <w:autoSpaceDN w:val="0"/>
        <w:adjustRightInd w:val="0"/>
        <w:spacing w:after="0" w:line="240" w:lineRule="auto"/>
        <w:jc w:val="both"/>
        <w:rPr>
          <w:rFonts w:cs="Arial"/>
          <w:color w:val="000000"/>
        </w:rPr>
      </w:pPr>
    </w:p>
    <w:p w:rsidR="00E37838" w:rsidRPr="000C1D70" w:rsidRDefault="00E37838" w:rsidP="00F23438">
      <w:pPr>
        <w:autoSpaceDE w:val="0"/>
        <w:autoSpaceDN w:val="0"/>
        <w:adjustRightInd w:val="0"/>
        <w:spacing w:after="0" w:line="240" w:lineRule="auto"/>
        <w:jc w:val="both"/>
        <w:rPr>
          <w:rFonts w:cs="Arial"/>
          <w:bCs/>
          <w:color w:val="000000"/>
        </w:rPr>
      </w:pPr>
      <w:r w:rsidRPr="000C1D70">
        <w:rPr>
          <w:rFonts w:cs="Arial"/>
          <w:color w:val="000000"/>
        </w:rPr>
        <w:t xml:space="preserve">Ce dispositif concerne </w:t>
      </w:r>
      <w:r w:rsidRPr="000C1D70">
        <w:rPr>
          <w:rFonts w:cs="Arial"/>
          <w:bCs/>
          <w:color w:val="000000"/>
        </w:rPr>
        <w:t xml:space="preserve">tout emplacement de stationnement </w:t>
      </w:r>
      <w:r w:rsidR="0040704F" w:rsidRPr="000C1D70">
        <w:rPr>
          <w:rFonts w:cs="Arial"/>
          <w:bCs/>
          <w:color w:val="000000"/>
        </w:rPr>
        <w:t xml:space="preserve">sis sur le territoire </w:t>
      </w:r>
      <w:r w:rsidRPr="000C1D70">
        <w:rPr>
          <w:rFonts w:cs="Arial"/>
          <w:bCs/>
          <w:color w:val="000000"/>
        </w:rPr>
        <w:t xml:space="preserve">communal, avec ou sans dispositif de charge, en surface ou en ouvrage, gérés directement par la collectivité, </w:t>
      </w:r>
      <w:r w:rsidRPr="000C1D70">
        <w:rPr>
          <w:rFonts w:cs="Arial"/>
          <w:color w:val="000000"/>
        </w:rPr>
        <w:t>conformément aux exigences de l’Etat, dans le cadre du dispositif des</w:t>
      </w:r>
      <w:r w:rsidRPr="000C1D70">
        <w:rPr>
          <w:rFonts w:cs="Arial"/>
          <w:bCs/>
          <w:color w:val="000000"/>
        </w:rPr>
        <w:t xml:space="preserve"> </w:t>
      </w:r>
      <w:r w:rsidRPr="000C1D70">
        <w:rPr>
          <w:rFonts w:cs="Arial"/>
          <w:color w:val="000000"/>
        </w:rPr>
        <w:t>Investissements d’Avenir.</w:t>
      </w:r>
    </w:p>
    <w:p w:rsidR="00E37838" w:rsidRPr="000C1D70" w:rsidRDefault="00E37838" w:rsidP="00E37838">
      <w:pPr>
        <w:autoSpaceDE w:val="0"/>
        <w:autoSpaceDN w:val="0"/>
        <w:adjustRightInd w:val="0"/>
        <w:spacing w:after="0" w:line="240" w:lineRule="auto"/>
        <w:rPr>
          <w:rFonts w:cs="Arial"/>
          <w:b/>
          <w:bCs/>
          <w:color w:val="000000"/>
          <w:sz w:val="26"/>
          <w:szCs w:val="26"/>
          <w:highlight w:val="yellow"/>
        </w:rPr>
      </w:pPr>
    </w:p>
    <w:p w:rsidR="009439FF" w:rsidRPr="000C1D70" w:rsidRDefault="009439FF" w:rsidP="00E37838">
      <w:pPr>
        <w:autoSpaceDE w:val="0"/>
        <w:autoSpaceDN w:val="0"/>
        <w:adjustRightInd w:val="0"/>
        <w:spacing w:after="0" w:line="240" w:lineRule="auto"/>
        <w:rPr>
          <w:rFonts w:cs="Arial"/>
          <w:b/>
          <w:bCs/>
          <w:color w:val="000000"/>
          <w:sz w:val="26"/>
          <w:szCs w:val="26"/>
          <w:highlight w:val="yellow"/>
        </w:rPr>
      </w:pPr>
    </w:p>
    <w:p w:rsidR="00E37838" w:rsidRPr="000C1D70" w:rsidRDefault="00E37838" w:rsidP="00084749">
      <w:pPr>
        <w:pStyle w:val="Reglementtitre"/>
        <w:rPr>
          <w:rFonts w:asciiTheme="minorHAnsi" w:hAnsiTheme="minorHAnsi"/>
        </w:rPr>
      </w:pPr>
      <w:bookmarkStart w:id="20" w:name="_Toc431460278"/>
      <w:r w:rsidRPr="000C1D70">
        <w:rPr>
          <w:rFonts w:asciiTheme="minorHAnsi" w:hAnsiTheme="minorHAnsi"/>
        </w:rPr>
        <w:t>4.3 La supervision des infrastructures de charge</w:t>
      </w:r>
      <w:bookmarkEnd w:id="20"/>
    </w:p>
    <w:p w:rsidR="0040704F" w:rsidRPr="000C1D70" w:rsidRDefault="0040704F" w:rsidP="00E37838">
      <w:pPr>
        <w:autoSpaceDE w:val="0"/>
        <w:autoSpaceDN w:val="0"/>
        <w:adjustRightInd w:val="0"/>
        <w:spacing w:after="0" w:line="240" w:lineRule="auto"/>
        <w:rPr>
          <w:rFonts w:cs="Arial"/>
          <w:color w:val="000000"/>
        </w:rPr>
      </w:pPr>
    </w:p>
    <w:p w:rsidR="00E37838" w:rsidRPr="000C1D70" w:rsidRDefault="00E37838" w:rsidP="00F23438">
      <w:pPr>
        <w:autoSpaceDE w:val="0"/>
        <w:autoSpaceDN w:val="0"/>
        <w:adjustRightInd w:val="0"/>
        <w:spacing w:after="0" w:line="240" w:lineRule="auto"/>
        <w:jc w:val="both"/>
        <w:rPr>
          <w:rFonts w:cs="Arial"/>
          <w:color w:val="000000"/>
        </w:rPr>
      </w:pPr>
      <w:r w:rsidRPr="000C1D70">
        <w:rPr>
          <w:rFonts w:cs="Arial"/>
          <w:color w:val="000000"/>
        </w:rPr>
        <w:t>Le service sera doté d’un outil de supervision qui permettra la collecte et l’envoi d’informations.</w:t>
      </w:r>
    </w:p>
    <w:p w:rsidR="00E37838" w:rsidRPr="000C1D70" w:rsidRDefault="00E37838" w:rsidP="00E37838">
      <w:pPr>
        <w:autoSpaceDE w:val="0"/>
        <w:autoSpaceDN w:val="0"/>
        <w:adjustRightInd w:val="0"/>
        <w:spacing w:after="0" w:line="240" w:lineRule="auto"/>
        <w:rPr>
          <w:rFonts w:cs="Arial"/>
          <w:b/>
          <w:bCs/>
          <w:color w:val="000000"/>
          <w:sz w:val="26"/>
          <w:szCs w:val="26"/>
          <w:highlight w:val="yellow"/>
        </w:rPr>
      </w:pPr>
    </w:p>
    <w:p w:rsidR="009439FF" w:rsidRPr="000C1D70" w:rsidRDefault="009439FF" w:rsidP="00E37838">
      <w:pPr>
        <w:autoSpaceDE w:val="0"/>
        <w:autoSpaceDN w:val="0"/>
        <w:adjustRightInd w:val="0"/>
        <w:spacing w:after="0" w:line="240" w:lineRule="auto"/>
        <w:rPr>
          <w:rFonts w:cs="Arial"/>
          <w:b/>
          <w:bCs/>
          <w:color w:val="000000"/>
          <w:sz w:val="26"/>
          <w:szCs w:val="26"/>
          <w:highlight w:val="yellow"/>
        </w:rPr>
      </w:pPr>
    </w:p>
    <w:p w:rsidR="00E37838" w:rsidRPr="000C1D70" w:rsidRDefault="00E37838" w:rsidP="00084749">
      <w:pPr>
        <w:pStyle w:val="Reglementtitre"/>
        <w:rPr>
          <w:rFonts w:asciiTheme="minorHAnsi" w:hAnsiTheme="minorHAnsi"/>
        </w:rPr>
      </w:pPr>
      <w:bookmarkStart w:id="21" w:name="_Toc431460279"/>
      <w:r w:rsidRPr="000C1D70">
        <w:rPr>
          <w:rFonts w:asciiTheme="minorHAnsi" w:hAnsiTheme="minorHAnsi"/>
        </w:rPr>
        <w:t>4.4 La fourniture d’électricité</w:t>
      </w:r>
      <w:bookmarkEnd w:id="21"/>
    </w:p>
    <w:p w:rsidR="0040704F" w:rsidRPr="000C1D70" w:rsidRDefault="0040704F" w:rsidP="00E37838">
      <w:pPr>
        <w:autoSpaceDE w:val="0"/>
        <w:autoSpaceDN w:val="0"/>
        <w:adjustRightInd w:val="0"/>
        <w:spacing w:after="0" w:line="240" w:lineRule="auto"/>
        <w:rPr>
          <w:rFonts w:cs="Arial"/>
          <w:color w:val="000000"/>
          <w:highlight w:val="yellow"/>
        </w:rPr>
      </w:pPr>
    </w:p>
    <w:p w:rsidR="00E37838" w:rsidRPr="000C1D70" w:rsidRDefault="00E37838" w:rsidP="00F23438">
      <w:pPr>
        <w:autoSpaceDE w:val="0"/>
        <w:autoSpaceDN w:val="0"/>
        <w:adjustRightInd w:val="0"/>
        <w:spacing w:after="0" w:line="240" w:lineRule="auto"/>
        <w:jc w:val="both"/>
        <w:rPr>
          <w:rFonts w:cs="Arial"/>
          <w:color w:val="000000"/>
        </w:rPr>
      </w:pPr>
      <w:r w:rsidRPr="000C1D70">
        <w:rPr>
          <w:rFonts w:cs="Arial"/>
          <w:color w:val="000000"/>
        </w:rPr>
        <w:t>L’exploitation des infrastructures de charge comprend l’achat d’énergie nécessaire à leur fonctionnement.</w:t>
      </w:r>
    </w:p>
    <w:p w:rsidR="0040704F" w:rsidRPr="000C1D70" w:rsidRDefault="0040704F" w:rsidP="00F23438">
      <w:pPr>
        <w:autoSpaceDE w:val="0"/>
        <w:autoSpaceDN w:val="0"/>
        <w:adjustRightInd w:val="0"/>
        <w:spacing w:after="0" w:line="240" w:lineRule="auto"/>
        <w:jc w:val="both"/>
        <w:rPr>
          <w:rFonts w:cs="Arial"/>
          <w:color w:val="000000"/>
        </w:rPr>
      </w:pPr>
    </w:p>
    <w:p w:rsidR="00E37838" w:rsidRPr="000C1D70" w:rsidRDefault="00E37838" w:rsidP="00F23438">
      <w:pPr>
        <w:autoSpaceDE w:val="0"/>
        <w:autoSpaceDN w:val="0"/>
        <w:adjustRightInd w:val="0"/>
        <w:spacing w:after="0" w:line="240" w:lineRule="auto"/>
        <w:jc w:val="both"/>
        <w:rPr>
          <w:rFonts w:cs="Arial"/>
          <w:color w:val="000000"/>
        </w:rPr>
      </w:pPr>
      <w:r w:rsidRPr="000C1D70">
        <w:rPr>
          <w:rFonts w:cs="Arial"/>
          <w:color w:val="000000"/>
        </w:rPr>
        <w:t xml:space="preserve">Le </w:t>
      </w:r>
      <w:r w:rsidR="0040704F" w:rsidRPr="000C1D70">
        <w:rPr>
          <w:rFonts w:cs="Arial"/>
          <w:color w:val="000000"/>
        </w:rPr>
        <w:t>SDE 07</w:t>
      </w:r>
      <w:r w:rsidRPr="000C1D70">
        <w:rPr>
          <w:rFonts w:cs="Arial"/>
          <w:color w:val="000000"/>
        </w:rPr>
        <w:t xml:space="preserve"> procédera donc au choix du fournisseur d’énergie. Les contrats de fourniture d’électricité sont au nom du </w:t>
      </w:r>
      <w:r w:rsidR="0040704F" w:rsidRPr="000C1D70">
        <w:rPr>
          <w:rFonts w:cs="Arial"/>
          <w:color w:val="000000"/>
        </w:rPr>
        <w:t>SDE 07</w:t>
      </w:r>
      <w:r w:rsidRPr="000C1D70">
        <w:rPr>
          <w:rFonts w:cs="Arial"/>
          <w:color w:val="000000"/>
        </w:rPr>
        <w:t xml:space="preserve">. Les consommations, abonnements et prestations relatives à la fourniture, afférents aux infrastructures de charge sont payés par le </w:t>
      </w:r>
      <w:r w:rsidR="0040704F" w:rsidRPr="000C1D70">
        <w:rPr>
          <w:rFonts w:cs="Arial"/>
          <w:color w:val="000000"/>
        </w:rPr>
        <w:t>SDE 07</w:t>
      </w:r>
      <w:r w:rsidRPr="000C1D70">
        <w:rPr>
          <w:rFonts w:cs="Arial"/>
          <w:color w:val="000000"/>
        </w:rPr>
        <w:t>.</w:t>
      </w:r>
    </w:p>
    <w:p w:rsidR="00E37838" w:rsidRPr="000C1D70" w:rsidRDefault="00E37838" w:rsidP="00E37838">
      <w:pPr>
        <w:rPr>
          <w:rFonts w:cs="Arial"/>
        </w:rPr>
      </w:pPr>
    </w:p>
    <w:p w:rsidR="00E37838" w:rsidRPr="000C1D70" w:rsidRDefault="00E37838" w:rsidP="00E37838">
      <w:pPr>
        <w:rPr>
          <w:rFonts w:cs="Arial"/>
        </w:rPr>
      </w:pPr>
    </w:p>
    <w:p w:rsidR="00E37838" w:rsidRPr="000C1D70" w:rsidRDefault="00E37838" w:rsidP="00E37838">
      <w:pPr>
        <w:rPr>
          <w:rFonts w:cs="Arial"/>
        </w:rPr>
      </w:pPr>
    </w:p>
    <w:p w:rsidR="00084749" w:rsidRPr="000C1D70" w:rsidRDefault="00084749" w:rsidP="00E37838">
      <w:pPr>
        <w:autoSpaceDE w:val="0"/>
        <w:autoSpaceDN w:val="0"/>
        <w:adjustRightInd w:val="0"/>
        <w:spacing w:after="0" w:line="240" w:lineRule="auto"/>
        <w:rPr>
          <w:rFonts w:cs="Arial"/>
        </w:rPr>
      </w:pPr>
    </w:p>
    <w:p w:rsidR="009439FF" w:rsidRPr="000C1D70" w:rsidRDefault="009439FF" w:rsidP="00E37838">
      <w:pPr>
        <w:autoSpaceDE w:val="0"/>
        <w:autoSpaceDN w:val="0"/>
        <w:adjustRightInd w:val="0"/>
        <w:spacing w:after="0" w:line="240" w:lineRule="auto"/>
        <w:rPr>
          <w:rFonts w:cs="Arial"/>
        </w:rPr>
      </w:pPr>
    </w:p>
    <w:p w:rsidR="00E37838" w:rsidRPr="000C1D70" w:rsidRDefault="00E37838" w:rsidP="00084749">
      <w:pPr>
        <w:pStyle w:val="ReglementChapitre"/>
        <w:rPr>
          <w:rFonts w:asciiTheme="minorHAnsi" w:hAnsiTheme="minorHAnsi"/>
          <w:color w:val="1F497D" w:themeColor="text2"/>
        </w:rPr>
      </w:pPr>
      <w:bookmarkStart w:id="22" w:name="_Toc431460280"/>
      <w:r w:rsidRPr="000C1D70">
        <w:rPr>
          <w:rFonts w:asciiTheme="minorHAnsi" w:hAnsiTheme="minorHAnsi"/>
        </w:rPr>
        <w:t>CHAPITRE 5 – FINANCEMENT</w:t>
      </w:r>
      <w:bookmarkEnd w:id="22"/>
    </w:p>
    <w:p w:rsidR="009439FF" w:rsidRPr="000C1D70" w:rsidRDefault="009439FF" w:rsidP="00084749">
      <w:pPr>
        <w:pStyle w:val="Reglementtitre"/>
        <w:rPr>
          <w:rFonts w:asciiTheme="minorHAnsi" w:hAnsiTheme="minorHAnsi"/>
        </w:rPr>
      </w:pPr>
      <w:bookmarkStart w:id="23" w:name="_Toc431460281"/>
    </w:p>
    <w:p w:rsidR="00E37838" w:rsidRPr="000C1D70" w:rsidRDefault="00E37838" w:rsidP="00084749">
      <w:pPr>
        <w:pStyle w:val="Reglementtitre"/>
        <w:rPr>
          <w:rFonts w:asciiTheme="minorHAnsi" w:hAnsiTheme="minorHAnsi"/>
        </w:rPr>
      </w:pPr>
      <w:r w:rsidRPr="000C1D70">
        <w:rPr>
          <w:rFonts w:asciiTheme="minorHAnsi" w:hAnsiTheme="minorHAnsi"/>
        </w:rPr>
        <w:t>5.1 Contribution au financement des investissements par la collectivité</w:t>
      </w:r>
      <w:bookmarkEnd w:id="23"/>
    </w:p>
    <w:p w:rsidR="0040704F" w:rsidRPr="000C1D70" w:rsidRDefault="0040704F" w:rsidP="00F23438">
      <w:pPr>
        <w:autoSpaceDE w:val="0"/>
        <w:autoSpaceDN w:val="0"/>
        <w:adjustRightInd w:val="0"/>
        <w:spacing w:after="0" w:line="240" w:lineRule="auto"/>
        <w:jc w:val="both"/>
        <w:rPr>
          <w:rFonts w:cs="Arial"/>
          <w:color w:val="000000"/>
          <w:highlight w:val="yellow"/>
        </w:rPr>
      </w:pPr>
    </w:p>
    <w:p w:rsidR="00E37838" w:rsidRPr="000C1D70" w:rsidRDefault="00E37838" w:rsidP="00F23438">
      <w:pPr>
        <w:autoSpaceDE w:val="0"/>
        <w:autoSpaceDN w:val="0"/>
        <w:adjustRightInd w:val="0"/>
        <w:spacing w:after="0" w:line="240" w:lineRule="auto"/>
        <w:jc w:val="both"/>
        <w:rPr>
          <w:rFonts w:cs="Arial"/>
          <w:color w:val="000000"/>
        </w:rPr>
      </w:pPr>
      <w:r w:rsidRPr="000C1D70">
        <w:rPr>
          <w:rFonts w:cs="Arial"/>
          <w:color w:val="000000"/>
        </w:rPr>
        <w:t>Les investissements bénéficient d’un financement public composé du dispositif d’aide aux investissements d’avenir de l’Etat, opéré par l’ADEME.</w:t>
      </w:r>
    </w:p>
    <w:p w:rsidR="0040704F" w:rsidRPr="000C1D70" w:rsidRDefault="0040704F" w:rsidP="00F23438">
      <w:pPr>
        <w:autoSpaceDE w:val="0"/>
        <w:autoSpaceDN w:val="0"/>
        <w:adjustRightInd w:val="0"/>
        <w:spacing w:after="0" w:line="240" w:lineRule="auto"/>
        <w:jc w:val="both"/>
        <w:rPr>
          <w:rFonts w:cs="Arial"/>
          <w:color w:val="000000"/>
          <w:highlight w:val="yellow"/>
        </w:rPr>
      </w:pPr>
    </w:p>
    <w:p w:rsidR="00E37838" w:rsidRPr="000C1D70" w:rsidRDefault="00E37838" w:rsidP="00F23438">
      <w:pPr>
        <w:autoSpaceDE w:val="0"/>
        <w:autoSpaceDN w:val="0"/>
        <w:adjustRightInd w:val="0"/>
        <w:spacing w:after="0" w:line="240" w:lineRule="auto"/>
        <w:jc w:val="both"/>
        <w:rPr>
          <w:rFonts w:cs="Arial"/>
          <w:color w:val="000000"/>
        </w:rPr>
      </w:pPr>
      <w:r w:rsidRPr="000C1D70">
        <w:rPr>
          <w:rFonts w:cs="Arial"/>
          <w:color w:val="000000"/>
        </w:rPr>
        <w:t xml:space="preserve">Les recettes d’investissement attendues de l’Etat, laissent cependant une charge financière à répartir entre le bloc communal (communes et/ou intercommunalités) et le </w:t>
      </w:r>
      <w:r w:rsidR="0040704F" w:rsidRPr="000C1D70">
        <w:rPr>
          <w:rFonts w:cs="Arial"/>
          <w:color w:val="000000"/>
        </w:rPr>
        <w:t>SDE 07</w:t>
      </w:r>
      <w:r w:rsidRPr="000C1D70">
        <w:rPr>
          <w:rFonts w:cs="Arial"/>
          <w:color w:val="000000"/>
        </w:rPr>
        <w:t>.</w:t>
      </w:r>
    </w:p>
    <w:p w:rsidR="0040704F" w:rsidRPr="000C1D70" w:rsidRDefault="0040704F" w:rsidP="00F23438">
      <w:pPr>
        <w:autoSpaceDE w:val="0"/>
        <w:autoSpaceDN w:val="0"/>
        <w:adjustRightInd w:val="0"/>
        <w:spacing w:after="0" w:line="240" w:lineRule="auto"/>
        <w:jc w:val="both"/>
        <w:rPr>
          <w:rFonts w:cs="Arial"/>
          <w:color w:val="000000"/>
          <w:highlight w:val="yellow"/>
        </w:rPr>
      </w:pPr>
    </w:p>
    <w:p w:rsidR="00E37838" w:rsidRPr="000C1D70" w:rsidRDefault="00E37838" w:rsidP="00F23438">
      <w:pPr>
        <w:autoSpaceDE w:val="0"/>
        <w:autoSpaceDN w:val="0"/>
        <w:adjustRightInd w:val="0"/>
        <w:spacing w:after="0" w:line="240" w:lineRule="auto"/>
        <w:jc w:val="both"/>
        <w:rPr>
          <w:rFonts w:cs="Arial"/>
          <w:b/>
          <w:bCs/>
          <w:color w:val="000000"/>
        </w:rPr>
      </w:pPr>
      <w:r w:rsidRPr="000C1D70">
        <w:rPr>
          <w:rFonts w:cs="Arial"/>
          <w:color w:val="000000"/>
        </w:rPr>
        <w:t xml:space="preserve">Le </w:t>
      </w:r>
      <w:r w:rsidR="0040704F" w:rsidRPr="000C1D70">
        <w:rPr>
          <w:rFonts w:cs="Arial"/>
          <w:color w:val="000000"/>
        </w:rPr>
        <w:t>SDE 07</w:t>
      </w:r>
      <w:r w:rsidRPr="000C1D70">
        <w:rPr>
          <w:rFonts w:cs="Arial"/>
          <w:color w:val="000000"/>
        </w:rPr>
        <w:t xml:space="preserve"> porte </w:t>
      </w:r>
      <w:r w:rsidRPr="000C1D70">
        <w:rPr>
          <w:rFonts w:cs="Arial"/>
          <w:b/>
          <w:bCs/>
          <w:color w:val="000000"/>
        </w:rPr>
        <w:t>la totalité de l’investissement (déduction faite des aides de l’Etat) pour les bornes rapides</w:t>
      </w:r>
      <w:r w:rsidRPr="000C1D70">
        <w:rPr>
          <w:rFonts w:cs="Arial"/>
          <w:color w:val="000000"/>
        </w:rPr>
        <w:t>, dans la mesure où le choix de la localisation répond à des critères</w:t>
      </w:r>
      <w:r w:rsidRPr="000C1D70">
        <w:rPr>
          <w:rFonts w:cs="Arial"/>
          <w:b/>
          <w:bCs/>
          <w:color w:val="000000"/>
        </w:rPr>
        <w:t xml:space="preserve"> </w:t>
      </w:r>
      <w:r w:rsidRPr="000C1D70">
        <w:rPr>
          <w:rFonts w:cs="Arial"/>
          <w:color w:val="000000"/>
        </w:rPr>
        <w:t>d’intérêt départemental.</w:t>
      </w:r>
    </w:p>
    <w:p w:rsidR="0040704F" w:rsidRPr="000C1D70" w:rsidRDefault="0040704F" w:rsidP="00F23438">
      <w:pPr>
        <w:autoSpaceDE w:val="0"/>
        <w:autoSpaceDN w:val="0"/>
        <w:adjustRightInd w:val="0"/>
        <w:spacing w:after="0" w:line="240" w:lineRule="auto"/>
        <w:jc w:val="both"/>
        <w:rPr>
          <w:rFonts w:cs="Arial"/>
          <w:color w:val="000000"/>
          <w:highlight w:val="yellow"/>
        </w:rPr>
      </w:pPr>
    </w:p>
    <w:p w:rsidR="00E37838" w:rsidRPr="000C1D70" w:rsidRDefault="009F2D22" w:rsidP="00F23438">
      <w:pPr>
        <w:autoSpaceDE w:val="0"/>
        <w:autoSpaceDN w:val="0"/>
        <w:adjustRightInd w:val="0"/>
        <w:spacing w:after="0" w:line="240" w:lineRule="auto"/>
        <w:jc w:val="both"/>
        <w:rPr>
          <w:rFonts w:cs="Arial"/>
          <w:b/>
          <w:bCs/>
          <w:color w:val="000000"/>
        </w:rPr>
      </w:pPr>
      <w:r w:rsidRPr="000C1D70">
        <w:rPr>
          <w:rFonts w:cs="Arial"/>
          <w:color w:val="000000"/>
        </w:rPr>
        <w:t xml:space="preserve">En ce qui concerne les bornes normales/accélérées, </w:t>
      </w:r>
      <w:r w:rsidR="003E6296" w:rsidRPr="000C1D70">
        <w:rPr>
          <w:rFonts w:cs="Arial"/>
          <w:b/>
          <w:color w:val="000000"/>
        </w:rPr>
        <w:t>une participation de 2 500 €</w:t>
      </w:r>
      <w:r w:rsidRPr="000C1D70">
        <w:rPr>
          <w:rFonts w:cs="Arial"/>
          <w:b/>
          <w:color w:val="000000"/>
        </w:rPr>
        <w:t xml:space="preserve"> par borne</w:t>
      </w:r>
      <w:r w:rsidRPr="000C1D70">
        <w:rPr>
          <w:rFonts w:cs="Arial"/>
          <w:color w:val="000000"/>
        </w:rPr>
        <w:t xml:space="preserve"> sera demandé à la commune. </w:t>
      </w:r>
      <w:r w:rsidR="00B55302" w:rsidRPr="000C1D70">
        <w:rPr>
          <w:rFonts w:cs="Arial"/>
          <w:color w:val="000000"/>
        </w:rPr>
        <w:t>L’autre partie des investissements sera totalement pris en charge par le SDE 07.</w:t>
      </w:r>
    </w:p>
    <w:p w:rsidR="00C22103" w:rsidRPr="000C1D70" w:rsidRDefault="00C22103" w:rsidP="00E37838">
      <w:pPr>
        <w:autoSpaceDE w:val="0"/>
        <w:autoSpaceDN w:val="0"/>
        <w:adjustRightInd w:val="0"/>
        <w:spacing w:after="0" w:line="240" w:lineRule="auto"/>
        <w:rPr>
          <w:rFonts w:cs="Arial"/>
          <w:b/>
          <w:bCs/>
          <w:color w:val="000000"/>
          <w:highlight w:val="yellow"/>
        </w:rPr>
      </w:pPr>
    </w:p>
    <w:p w:rsidR="00C22103" w:rsidRPr="000C1D70" w:rsidRDefault="00C22103" w:rsidP="00F23438">
      <w:pPr>
        <w:autoSpaceDE w:val="0"/>
        <w:autoSpaceDN w:val="0"/>
        <w:adjustRightInd w:val="0"/>
        <w:spacing w:after="0" w:line="240" w:lineRule="auto"/>
        <w:jc w:val="center"/>
        <w:rPr>
          <w:rFonts w:cs="Arial"/>
          <w:b/>
          <w:bCs/>
          <w:color w:val="000000"/>
          <w:u w:val="single"/>
        </w:rPr>
      </w:pPr>
    </w:p>
    <w:p w:rsidR="00E37838" w:rsidRPr="000C1D70" w:rsidRDefault="00E37838" w:rsidP="00F23438">
      <w:pPr>
        <w:autoSpaceDE w:val="0"/>
        <w:autoSpaceDN w:val="0"/>
        <w:adjustRightInd w:val="0"/>
        <w:spacing w:after="0" w:line="240" w:lineRule="auto"/>
        <w:jc w:val="center"/>
        <w:rPr>
          <w:rFonts w:cs="Arial"/>
          <w:b/>
          <w:bCs/>
          <w:color w:val="000000"/>
          <w:u w:val="single"/>
        </w:rPr>
      </w:pPr>
      <w:r w:rsidRPr="000C1D70">
        <w:rPr>
          <w:rFonts w:cs="Arial"/>
          <w:b/>
          <w:bCs/>
          <w:color w:val="000000"/>
          <w:u w:val="single"/>
        </w:rPr>
        <w:t>Montants des contributions au financement des investissements de la collectivité par borne</w:t>
      </w:r>
    </w:p>
    <w:p w:rsidR="0071308A" w:rsidRPr="000C1D70" w:rsidRDefault="0071308A" w:rsidP="00E37838">
      <w:pPr>
        <w:autoSpaceDE w:val="0"/>
        <w:autoSpaceDN w:val="0"/>
        <w:adjustRightInd w:val="0"/>
        <w:spacing w:after="0" w:line="240" w:lineRule="auto"/>
        <w:rPr>
          <w:rFonts w:cs="Arial"/>
          <w:color w:val="000000"/>
          <w:highlight w:val="yellow"/>
        </w:rPr>
      </w:pPr>
    </w:p>
    <w:p w:rsidR="0071308A" w:rsidRPr="000C1D70" w:rsidRDefault="0071308A" w:rsidP="00E37838">
      <w:pPr>
        <w:autoSpaceDE w:val="0"/>
        <w:autoSpaceDN w:val="0"/>
        <w:adjustRightInd w:val="0"/>
        <w:spacing w:after="0" w:line="240" w:lineRule="auto"/>
        <w:rPr>
          <w:rFonts w:cs="Arial"/>
          <w:color w:val="000000"/>
          <w:highlight w:val="yellow"/>
        </w:rPr>
      </w:pPr>
    </w:p>
    <w:tbl>
      <w:tblPr>
        <w:tblStyle w:val="Grilledutableau"/>
        <w:tblW w:w="0" w:type="auto"/>
        <w:tblLook w:val="04A0" w:firstRow="1" w:lastRow="0" w:firstColumn="1" w:lastColumn="0" w:noHBand="0" w:noVBand="1"/>
      </w:tblPr>
      <w:tblGrid>
        <w:gridCol w:w="1842"/>
        <w:gridCol w:w="1842"/>
        <w:gridCol w:w="1842"/>
        <w:gridCol w:w="1842"/>
        <w:gridCol w:w="1843"/>
      </w:tblGrid>
      <w:tr w:rsidR="00C22103" w:rsidRPr="000C1D70" w:rsidTr="00A1318E">
        <w:trPr>
          <w:trHeight w:val="949"/>
        </w:trPr>
        <w:tc>
          <w:tcPr>
            <w:tcW w:w="1842" w:type="dxa"/>
            <w:tcBorders>
              <w:top w:val="nil"/>
              <w:left w:val="nil"/>
            </w:tcBorders>
          </w:tcPr>
          <w:p w:rsidR="00C22103" w:rsidRPr="000C1D70" w:rsidRDefault="00C22103" w:rsidP="00E37838">
            <w:pPr>
              <w:autoSpaceDE w:val="0"/>
              <w:autoSpaceDN w:val="0"/>
              <w:adjustRightInd w:val="0"/>
              <w:rPr>
                <w:rFonts w:cs="Arial"/>
                <w:color w:val="000000"/>
                <w:highlight w:val="yellow"/>
              </w:rPr>
            </w:pPr>
          </w:p>
        </w:tc>
        <w:tc>
          <w:tcPr>
            <w:tcW w:w="1842" w:type="dxa"/>
            <w:shd w:val="clear" w:color="auto" w:fill="EEECE1" w:themeFill="background2"/>
            <w:vAlign w:val="center"/>
          </w:tcPr>
          <w:p w:rsidR="00C22103" w:rsidRPr="000C1D70" w:rsidRDefault="00C22103" w:rsidP="00C22103">
            <w:pPr>
              <w:autoSpaceDE w:val="0"/>
              <w:autoSpaceDN w:val="0"/>
              <w:adjustRightInd w:val="0"/>
              <w:jc w:val="center"/>
              <w:rPr>
                <w:rFonts w:cs="Arial"/>
                <w:color w:val="000000"/>
                <w:sz w:val="16"/>
                <w:szCs w:val="16"/>
              </w:rPr>
            </w:pPr>
            <w:r w:rsidRPr="000C1D70">
              <w:rPr>
                <w:rFonts w:cs="Arial"/>
                <w:color w:val="000000"/>
                <w:sz w:val="16"/>
                <w:szCs w:val="16"/>
              </w:rPr>
              <w:t>Coût global moyen</w:t>
            </w:r>
          </w:p>
          <w:p w:rsidR="00C22103" w:rsidRPr="000C1D70" w:rsidRDefault="00C22103" w:rsidP="00C22103">
            <w:pPr>
              <w:autoSpaceDE w:val="0"/>
              <w:autoSpaceDN w:val="0"/>
              <w:adjustRightInd w:val="0"/>
              <w:jc w:val="center"/>
              <w:rPr>
                <w:rFonts w:cs="Arial"/>
                <w:color w:val="000000"/>
                <w:highlight w:val="yellow"/>
              </w:rPr>
            </w:pPr>
            <w:r w:rsidRPr="000C1D70">
              <w:rPr>
                <w:rFonts w:cs="Arial"/>
                <w:color w:val="000000"/>
                <w:sz w:val="16"/>
                <w:szCs w:val="16"/>
              </w:rPr>
              <w:t>d’une borne €HT (*)</w:t>
            </w:r>
          </w:p>
        </w:tc>
        <w:tc>
          <w:tcPr>
            <w:tcW w:w="1842" w:type="dxa"/>
            <w:shd w:val="clear" w:color="auto" w:fill="EEECE1" w:themeFill="background2"/>
            <w:vAlign w:val="center"/>
          </w:tcPr>
          <w:p w:rsidR="00C22103" w:rsidRPr="000C1D70" w:rsidRDefault="00C22103" w:rsidP="00DE0D5B">
            <w:pPr>
              <w:autoSpaceDE w:val="0"/>
              <w:autoSpaceDN w:val="0"/>
              <w:adjustRightInd w:val="0"/>
              <w:jc w:val="center"/>
              <w:rPr>
                <w:rFonts w:cs="Arial"/>
                <w:color w:val="000000"/>
              </w:rPr>
            </w:pPr>
            <w:r w:rsidRPr="000C1D70">
              <w:rPr>
                <w:rFonts w:cs="Arial"/>
                <w:sz w:val="16"/>
                <w:szCs w:val="16"/>
              </w:rPr>
              <w:t>Contribution de l</w:t>
            </w:r>
            <w:r w:rsidR="00DE0D5B" w:rsidRPr="000C1D70">
              <w:rPr>
                <w:rFonts w:cs="Arial"/>
                <w:sz w:val="16"/>
                <w:szCs w:val="16"/>
              </w:rPr>
              <w:t>’ADEME</w:t>
            </w:r>
          </w:p>
        </w:tc>
        <w:tc>
          <w:tcPr>
            <w:tcW w:w="1842" w:type="dxa"/>
            <w:shd w:val="clear" w:color="auto" w:fill="EEECE1" w:themeFill="background2"/>
            <w:vAlign w:val="center"/>
          </w:tcPr>
          <w:p w:rsidR="00DE0D5B" w:rsidRPr="000C1D70" w:rsidRDefault="00DE0D5B" w:rsidP="00C22103">
            <w:pPr>
              <w:autoSpaceDE w:val="0"/>
              <w:autoSpaceDN w:val="0"/>
              <w:adjustRightInd w:val="0"/>
              <w:jc w:val="center"/>
              <w:rPr>
                <w:rFonts w:cs="Arial"/>
                <w:sz w:val="16"/>
                <w:szCs w:val="16"/>
              </w:rPr>
            </w:pPr>
            <w:r w:rsidRPr="000C1D70">
              <w:rPr>
                <w:rFonts w:cs="Arial"/>
                <w:sz w:val="16"/>
                <w:szCs w:val="16"/>
              </w:rPr>
              <w:t xml:space="preserve">Contribution </w:t>
            </w:r>
          </w:p>
          <w:p w:rsidR="00C22103" w:rsidRPr="000C1D70" w:rsidRDefault="00DE0D5B" w:rsidP="00C22103">
            <w:pPr>
              <w:autoSpaceDE w:val="0"/>
              <w:autoSpaceDN w:val="0"/>
              <w:adjustRightInd w:val="0"/>
              <w:jc w:val="center"/>
              <w:rPr>
                <w:rFonts w:cs="Arial"/>
                <w:color w:val="000000"/>
                <w:highlight w:val="yellow"/>
              </w:rPr>
            </w:pPr>
            <w:r w:rsidRPr="000C1D70">
              <w:rPr>
                <w:rFonts w:cs="Arial"/>
                <w:sz w:val="16"/>
                <w:szCs w:val="16"/>
              </w:rPr>
              <w:t>du SDE 07</w:t>
            </w:r>
          </w:p>
        </w:tc>
        <w:tc>
          <w:tcPr>
            <w:tcW w:w="1843" w:type="dxa"/>
            <w:shd w:val="clear" w:color="auto" w:fill="F79646" w:themeFill="accent6"/>
            <w:vAlign w:val="center"/>
          </w:tcPr>
          <w:p w:rsidR="00C22103" w:rsidRPr="000C1D70" w:rsidRDefault="00C22103" w:rsidP="00C22103">
            <w:pPr>
              <w:autoSpaceDE w:val="0"/>
              <w:autoSpaceDN w:val="0"/>
              <w:adjustRightInd w:val="0"/>
              <w:jc w:val="center"/>
              <w:rPr>
                <w:rFonts w:cs="Arial"/>
                <w:b/>
                <w:bCs/>
                <w:sz w:val="16"/>
                <w:szCs w:val="16"/>
              </w:rPr>
            </w:pPr>
            <w:r w:rsidRPr="000C1D70">
              <w:rPr>
                <w:rFonts w:cs="Arial"/>
                <w:b/>
                <w:bCs/>
                <w:sz w:val="16"/>
                <w:szCs w:val="16"/>
              </w:rPr>
              <w:t>Contribution totale de</w:t>
            </w:r>
          </w:p>
          <w:p w:rsidR="00C22103" w:rsidRPr="000C1D70" w:rsidRDefault="00C22103" w:rsidP="00C22103">
            <w:pPr>
              <w:autoSpaceDE w:val="0"/>
              <w:autoSpaceDN w:val="0"/>
              <w:adjustRightInd w:val="0"/>
              <w:jc w:val="center"/>
              <w:rPr>
                <w:rFonts w:cs="Arial"/>
                <w:b/>
                <w:bCs/>
                <w:sz w:val="16"/>
                <w:szCs w:val="16"/>
              </w:rPr>
            </w:pPr>
            <w:r w:rsidRPr="000C1D70">
              <w:rPr>
                <w:rFonts w:cs="Arial"/>
                <w:b/>
                <w:bCs/>
                <w:sz w:val="16"/>
                <w:szCs w:val="16"/>
              </w:rPr>
              <w:t>la collectivité par</w:t>
            </w:r>
          </w:p>
          <w:p w:rsidR="00C22103" w:rsidRPr="000C1D70" w:rsidRDefault="00C22103" w:rsidP="00C22103">
            <w:pPr>
              <w:autoSpaceDE w:val="0"/>
              <w:autoSpaceDN w:val="0"/>
              <w:adjustRightInd w:val="0"/>
              <w:jc w:val="center"/>
              <w:rPr>
                <w:rFonts w:cs="Arial"/>
                <w:color w:val="000000"/>
                <w:highlight w:val="yellow"/>
              </w:rPr>
            </w:pPr>
            <w:r w:rsidRPr="000C1D70">
              <w:rPr>
                <w:rFonts w:cs="Arial"/>
                <w:b/>
                <w:bCs/>
                <w:sz w:val="16"/>
                <w:szCs w:val="16"/>
              </w:rPr>
              <w:t>borne €</w:t>
            </w:r>
          </w:p>
        </w:tc>
      </w:tr>
      <w:tr w:rsidR="00C22103" w:rsidRPr="000C1D70" w:rsidTr="002000E6">
        <w:trPr>
          <w:trHeight w:val="835"/>
        </w:trPr>
        <w:tc>
          <w:tcPr>
            <w:tcW w:w="1842" w:type="dxa"/>
            <w:vAlign w:val="center"/>
          </w:tcPr>
          <w:p w:rsidR="00C22103" w:rsidRPr="000C1D70" w:rsidRDefault="00C22103" w:rsidP="00C22103">
            <w:pPr>
              <w:autoSpaceDE w:val="0"/>
              <w:autoSpaceDN w:val="0"/>
              <w:adjustRightInd w:val="0"/>
              <w:rPr>
                <w:rFonts w:cs="Arial"/>
                <w:color w:val="000000"/>
                <w:sz w:val="16"/>
                <w:szCs w:val="16"/>
              </w:rPr>
            </w:pPr>
            <w:r w:rsidRPr="000C1D70">
              <w:rPr>
                <w:rFonts w:cs="Arial"/>
                <w:color w:val="000000"/>
                <w:sz w:val="16"/>
                <w:szCs w:val="16"/>
              </w:rPr>
              <w:t>Borne de charge</w:t>
            </w:r>
          </w:p>
          <w:p w:rsidR="00C22103" w:rsidRPr="000C1D70" w:rsidRDefault="00C22103" w:rsidP="00C22103">
            <w:pPr>
              <w:autoSpaceDE w:val="0"/>
              <w:autoSpaceDN w:val="0"/>
              <w:adjustRightInd w:val="0"/>
              <w:rPr>
                <w:rFonts w:cs="Arial"/>
                <w:color w:val="000000"/>
                <w:sz w:val="16"/>
                <w:szCs w:val="16"/>
                <w:highlight w:val="yellow"/>
              </w:rPr>
            </w:pPr>
            <w:r w:rsidRPr="000C1D70">
              <w:rPr>
                <w:rFonts w:cs="Arial"/>
                <w:color w:val="000000"/>
                <w:sz w:val="16"/>
                <w:szCs w:val="16"/>
              </w:rPr>
              <w:t>accélérée</w:t>
            </w:r>
          </w:p>
        </w:tc>
        <w:tc>
          <w:tcPr>
            <w:tcW w:w="1842" w:type="dxa"/>
            <w:vAlign w:val="center"/>
          </w:tcPr>
          <w:p w:rsidR="00C22103" w:rsidRPr="000C1D70" w:rsidRDefault="002000E6" w:rsidP="002000E6">
            <w:pPr>
              <w:autoSpaceDE w:val="0"/>
              <w:autoSpaceDN w:val="0"/>
              <w:adjustRightInd w:val="0"/>
              <w:jc w:val="center"/>
              <w:rPr>
                <w:rFonts w:cs="Arial"/>
                <w:color w:val="000000"/>
                <w:sz w:val="18"/>
                <w:szCs w:val="18"/>
                <w:highlight w:val="yellow"/>
              </w:rPr>
            </w:pPr>
            <w:r w:rsidRPr="000C1D70">
              <w:rPr>
                <w:rFonts w:cs="Arial"/>
                <w:color w:val="000000"/>
                <w:sz w:val="18"/>
                <w:szCs w:val="18"/>
              </w:rPr>
              <w:t>13 000 €</w:t>
            </w:r>
          </w:p>
        </w:tc>
        <w:tc>
          <w:tcPr>
            <w:tcW w:w="1842" w:type="dxa"/>
            <w:vAlign w:val="center"/>
          </w:tcPr>
          <w:p w:rsidR="00C22103" w:rsidRPr="000C1D70" w:rsidRDefault="00DE0D5B" w:rsidP="002000E6">
            <w:pPr>
              <w:autoSpaceDE w:val="0"/>
              <w:autoSpaceDN w:val="0"/>
              <w:adjustRightInd w:val="0"/>
              <w:jc w:val="center"/>
              <w:rPr>
                <w:rFonts w:cs="Arial"/>
                <w:color w:val="000000"/>
                <w:sz w:val="18"/>
                <w:szCs w:val="18"/>
                <w:highlight w:val="yellow"/>
              </w:rPr>
            </w:pPr>
            <w:r w:rsidRPr="000C1D70">
              <w:rPr>
                <w:rFonts w:cs="Arial"/>
                <w:color w:val="000000"/>
                <w:sz w:val="18"/>
                <w:szCs w:val="18"/>
              </w:rPr>
              <w:t>6 0</w:t>
            </w:r>
            <w:r w:rsidR="002000E6" w:rsidRPr="000C1D70">
              <w:rPr>
                <w:rFonts w:cs="Arial"/>
                <w:color w:val="000000"/>
                <w:sz w:val="18"/>
                <w:szCs w:val="18"/>
              </w:rPr>
              <w:t>00 €</w:t>
            </w:r>
          </w:p>
        </w:tc>
        <w:tc>
          <w:tcPr>
            <w:tcW w:w="1842" w:type="dxa"/>
            <w:vAlign w:val="center"/>
          </w:tcPr>
          <w:p w:rsidR="00C22103" w:rsidRPr="000C1D70" w:rsidRDefault="00DE0D5B" w:rsidP="002000E6">
            <w:pPr>
              <w:autoSpaceDE w:val="0"/>
              <w:autoSpaceDN w:val="0"/>
              <w:adjustRightInd w:val="0"/>
              <w:jc w:val="center"/>
              <w:rPr>
                <w:rFonts w:cs="Arial"/>
                <w:color w:val="000000"/>
                <w:sz w:val="18"/>
                <w:szCs w:val="18"/>
                <w:highlight w:val="yellow"/>
              </w:rPr>
            </w:pPr>
            <w:r w:rsidRPr="000C1D70">
              <w:rPr>
                <w:rFonts w:cs="Arial"/>
                <w:color w:val="000000"/>
                <w:sz w:val="18"/>
                <w:szCs w:val="18"/>
              </w:rPr>
              <w:t>4 500 €</w:t>
            </w:r>
          </w:p>
        </w:tc>
        <w:tc>
          <w:tcPr>
            <w:tcW w:w="1843" w:type="dxa"/>
            <w:vAlign w:val="center"/>
          </w:tcPr>
          <w:p w:rsidR="00C22103" w:rsidRPr="000C1D70" w:rsidRDefault="009F2D22" w:rsidP="002000E6">
            <w:pPr>
              <w:autoSpaceDE w:val="0"/>
              <w:autoSpaceDN w:val="0"/>
              <w:adjustRightInd w:val="0"/>
              <w:jc w:val="center"/>
              <w:rPr>
                <w:rFonts w:cs="Arial"/>
                <w:b/>
                <w:color w:val="000000"/>
                <w:sz w:val="18"/>
                <w:szCs w:val="18"/>
                <w:highlight w:val="yellow"/>
              </w:rPr>
            </w:pPr>
            <w:r w:rsidRPr="000C1D70">
              <w:rPr>
                <w:rFonts w:cs="Arial"/>
                <w:b/>
                <w:color w:val="000000"/>
                <w:sz w:val="18"/>
                <w:szCs w:val="18"/>
              </w:rPr>
              <w:t>2 500</w:t>
            </w:r>
            <w:r w:rsidR="00E402C2" w:rsidRPr="000C1D70">
              <w:rPr>
                <w:rFonts w:cs="Arial"/>
                <w:b/>
                <w:color w:val="000000"/>
                <w:sz w:val="18"/>
                <w:szCs w:val="18"/>
              </w:rPr>
              <w:t xml:space="preserve"> €</w:t>
            </w:r>
          </w:p>
        </w:tc>
      </w:tr>
      <w:tr w:rsidR="00DE0D5B" w:rsidRPr="000C1D70" w:rsidTr="00DA41EB">
        <w:trPr>
          <w:trHeight w:val="847"/>
        </w:trPr>
        <w:tc>
          <w:tcPr>
            <w:tcW w:w="1842" w:type="dxa"/>
            <w:vAlign w:val="center"/>
          </w:tcPr>
          <w:p w:rsidR="00DE0D5B" w:rsidRPr="000C1D70" w:rsidRDefault="00DE0D5B" w:rsidP="00C22103">
            <w:pPr>
              <w:autoSpaceDE w:val="0"/>
              <w:autoSpaceDN w:val="0"/>
              <w:adjustRightInd w:val="0"/>
              <w:rPr>
                <w:rFonts w:cs="Arial"/>
                <w:color w:val="000000"/>
                <w:sz w:val="16"/>
                <w:szCs w:val="16"/>
              </w:rPr>
            </w:pPr>
            <w:r w:rsidRPr="000C1D70">
              <w:rPr>
                <w:rFonts w:cs="Arial"/>
                <w:color w:val="000000"/>
                <w:sz w:val="16"/>
                <w:szCs w:val="16"/>
              </w:rPr>
              <w:t>Borne de charge</w:t>
            </w:r>
          </w:p>
          <w:p w:rsidR="00DE0D5B" w:rsidRPr="000C1D70" w:rsidRDefault="00DE0D5B" w:rsidP="00C22103">
            <w:pPr>
              <w:autoSpaceDE w:val="0"/>
              <w:autoSpaceDN w:val="0"/>
              <w:adjustRightInd w:val="0"/>
              <w:rPr>
                <w:rFonts w:cs="Arial"/>
                <w:color w:val="000000"/>
                <w:sz w:val="16"/>
                <w:szCs w:val="16"/>
                <w:highlight w:val="yellow"/>
              </w:rPr>
            </w:pPr>
            <w:r w:rsidRPr="000C1D70">
              <w:rPr>
                <w:rFonts w:cs="Arial"/>
                <w:color w:val="000000"/>
                <w:sz w:val="16"/>
                <w:szCs w:val="16"/>
              </w:rPr>
              <w:t>rapide</w:t>
            </w:r>
          </w:p>
        </w:tc>
        <w:tc>
          <w:tcPr>
            <w:tcW w:w="1842" w:type="dxa"/>
            <w:vAlign w:val="center"/>
          </w:tcPr>
          <w:p w:rsidR="00DE0D5B" w:rsidRPr="000C1D70" w:rsidRDefault="00DE0D5B" w:rsidP="002000E6">
            <w:pPr>
              <w:autoSpaceDE w:val="0"/>
              <w:autoSpaceDN w:val="0"/>
              <w:adjustRightInd w:val="0"/>
              <w:jc w:val="center"/>
              <w:rPr>
                <w:rFonts w:cs="Arial"/>
                <w:color w:val="000000"/>
                <w:sz w:val="18"/>
                <w:szCs w:val="18"/>
                <w:highlight w:val="yellow"/>
              </w:rPr>
            </w:pPr>
            <w:r w:rsidRPr="000C1D70">
              <w:rPr>
                <w:rFonts w:cs="Arial"/>
                <w:color w:val="000000"/>
                <w:sz w:val="18"/>
                <w:szCs w:val="18"/>
              </w:rPr>
              <w:t>50 000 €</w:t>
            </w:r>
          </w:p>
        </w:tc>
        <w:tc>
          <w:tcPr>
            <w:tcW w:w="1842" w:type="dxa"/>
            <w:vAlign w:val="center"/>
          </w:tcPr>
          <w:p w:rsidR="00DE0D5B" w:rsidRPr="000C1D70" w:rsidRDefault="00DE0D5B" w:rsidP="002000E6">
            <w:pPr>
              <w:autoSpaceDE w:val="0"/>
              <w:autoSpaceDN w:val="0"/>
              <w:adjustRightInd w:val="0"/>
              <w:jc w:val="center"/>
              <w:rPr>
                <w:rFonts w:cs="Arial"/>
                <w:color w:val="000000"/>
                <w:highlight w:val="yellow"/>
              </w:rPr>
            </w:pPr>
            <w:r w:rsidRPr="000C1D70">
              <w:rPr>
                <w:rFonts w:cs="Arial"/>
                <w:color w:val="000000"/>
                <w:sz w:val="18"/>
                <w:szCs w:val="18"/>
              </w:rPr>
              <w:t>12 000 €</w:t>
            </w:r>
          </w:p>
        </w:tc>
        <w:tc>
          <w:tcPr>
            <w:tcW w:w="1842" w:type="dxa"/>
            <w:vAlign w:val="center"/>
          </w:tcPr>
          <w:p w:rsidR="00DE0D5B" w:rsidRPr="000C1D70" w:rsidRDefault="00DE0D5B" w:rsidP="002000E6">
            <w:pPr>
              <w:autoSpaceDE w:val="0"/>
              <w:autoSpaceDN w:val="0"/>
              <w:adjustRightInd w:val="0"/>
              <w:jc w:val="center"/>
              <w:rPr>
                <w:rFonts w:cs="Arial"/>
                <w:color w:val="000000"/>
                <w:highlight w:val="yellow"/>
              </w:rPr>
            </w:pPr>
            <w:r w:rsidRPr="000C1D70">
              <w:rPr>
                <w:rFonts w:cs="Arial"/>
                <w:color w:val="000000"/>
                <w:sz w:val="18"/>
                <w:szCs w:val="18"/>
              </w:rPr>
              <w:t>38 000 €</w:t>
            </w:r>
          </w:p>
        </w:tc>
        <w:tc>
          <w:tcPr>
            <w:tcW w:w="1843" w:type="dxa"/>
            <w:vAlign w:val="center"/>
          </w:tcPr>
          <w:p w:rsidR="00DE0D5B" w:rsidRPr="000C1D70" w:rsidRDefault="00DE0D5B" w:rsidP="002000E6">
            <w:pPr>
              <w:autoSpaceDE w:val="0"/>
              <w:autoSpaceDN w:val="0"/>
              <w:adjustRightInd w:val="0"/>
              <w:jc w:val="center"/>
              <w:rPr>
                <w:rFonts w:cs="Arial"/>
                <w:color w:val="000000"/>
                <w:highlight w:val="yellow"/>
              </w:rPr>
            </w:pPr>
            <w:r w:rsidRPr="000C1D70">
              <w:rPr>
                <w:rFonts w:cs="Arial"/>
                <w:b/>
                <w:color w:val="000000"/>
                <w:sz w:val="18"/>
                <w:szCs w:val="18"/>
              </w:rPr>
              <w:t>0 €</w:t>
            </w:r>
          </w:p>
        </w:tc>
      </w:tr>
    </w:tbl>
    <w:p w:rsidR="0071308A" w:rsidRPr="000C1D70" w:rsidRDefault="0071308A" w:rsidP="00E37838">
      <w:pPr>
        <w:autoSpaceDE w:val="0"/>
        <w:autoSpaceDN w:val="0"/>
        <w:adjustRightInd w:val="0"/>
        <w:spacing w:after="0" w:line="240" w:lineRule="auto"/>
        <w:rPr>
          <w:rFonts w:cs="Arial"/>
          <w:color w:val="000000"/>
          <w:highlight w:val="yellow"/>
        </w:rPr>
      </w:pPr>
    </w:p>
    <w:p w:rsidR="00C22103" w:rsidRPr="000C1D70" w:rsidRDefault="00C22103" w:rsidP="00C22103">
      <w:pPr>
        <w:autoSpaceDE w:val="0"/>
        <w:autoSpaceDN w:val="0"/>
        <w:adjustRightInd w:val="0"/>
        <w:spacing w:after="0" w:line="240" w:lineRule="auto"/>
        <w:rPr>
          <w:rFonts w:cs="Arial"/>
          <w:b/>
          <w:bCs/>
          <w:sz w:val="16"/>
          <w:szCs w:val="16"/>
        </w:rPr>
      </w:pPr>
      <w:r w:rsidRPr="000C1D70">
        <w:rPr>
          <w:rFonts w:cs="Arial"/>
          <w:b/>
          <w:bCs/>
          <w:sz w:val="16"/>
          <w:szCs w:val="16"/>
        </w:rPr>
        <w:t>(*) coût indicatif</w:t>
      </w:r>
    </w:p>
    <w:p w:rsidR="0071308A" w:rsidRPr="000C1D70" w:rsidRDefault="0071308A" w:rsidP="00C22103">
      <w:pPr>
        <w:autoSpaceDE w:val="0"/>
        <w:autoSpaceDN w:val="0"/>
        <w:adjustRightInd w:val="0"/>
        <w:spacing w:after="0" w:line="240" w:lineRule="auto"/>
        <w:rPr>
          <w:rFonts w:cs="Arial"/>
          <w:color w:val="000000"/>
          <w:highlight w:val="yellow"/>
        </w:rPr>
      </w:pPr>
    </w:p>
    <w:p w:rsidR="00B55302" w:rsidRPr="000C1D70" w:rsidRDefault="00B55302" w:rsidP="00F23438">
      <w:pPr>
        <w:autoSpaceDE w:val="0"/>
        <w:autoSpaceDN w:val="0"/>
        <w:adjustRightInd w:val="0"/>
        <w:spacing w:after="0" w:line="240" w:lineRule="auto"/>
        <w:jc w:val="both"/>
        <w:rPr>
          <w:rFonts w:cs="Arial"/>
          <w:color w:val="000000"/>
          <w:sz w:val="16"/>
          <w:szCs w:val="16"/>
        </w:rPr>
      </w:pPr>
    </w:p>
    <w:p w:rsidR="00E37838" w:rsidRPr="000C1D70" w:rsidRDefault="00E37838" w:rsidP="00F23438">
      <w:pPr>
        <w:autoSpaceDE w:val="0"/>
        <w:autoSpaceDN w:val="0"/>
        <w:adjustRightInd w:val="0"/>
        <w:spacing w:after="0" w:line="240" w:lineRule="auto"/>
        <w:jc w:val="both"/>
        <w:rPr>
          <w:rFonts w:cs="Arial"/>
          <w:color w:val="000000"/>
        </w:rPr>
      </w:pPr>
      <w:r w:rsidRPr="000C1D70">
        <w:rPr>
          <w:rFonts w:cs="Arial"/>
          <w:color w:val="000000"/>
        </w:rPr>
        <w:t xml:space="preserve">La dépense globale comprend le matériel et ses </w:t>
      </w:r>
      <w:r w:rsidR="0071308A" w:rsidRPr="000C1D70">
        <w:rPr>
          <w:rFonts w:cs="Arial"/>
          <w:color w:val="000000"/>
        </w:rPr>
        <w:t xml:space="preserve">équipements de communication et </w:t>
      </w:r>
      <w:r w:rsidRPr="000C1D70">
        <w:rPr>
          <w:rFonts w:cs="Arial"/>
          <w:color w:val="000000"/>
        </w:rPr>
        <w:t>interopérabilité, le génie civil, les frais de raccordement aux</w:t>
      </w:r>
      <w:r w:rsidR="0071308A" w:rsidRPr="000C1D70">
        <w:rPr>
          <w:rFonts w:cs="Arial"/>
          <w:color w:val="000000"/>
        </w:rPr>
        <w:t xml:space="preserve"> réseaux de communication et au </w:t>
      </w:r>
      <w:r w:rsidRPr="000C1D70">
        <w:rPr>
          <w:rFonts w:cs="Arial"/>
          <w:color w:val="000000"/>
        </w:rPr>
        <w:t>réseau électrique, la signalétique, les travaux, les coûts d’études, de maîtrise d’</w:t>
      </w:r>
      <w:r w:rsidR="0071308A" w:rsidRPr="000C1D70">
        <w:rPr>
          <w:rFonts w:cs="Arial"/>
          <w:color w:val="000000"/>
        </w:rPr>
        <w:t xml:space="preserve">œuvre, de </w:t>
      </w:r>
      <w:r w:rsidRPr="000C1D70">
        <w:rPr>
          <w:rFonts w:cs="Arial"/>
          <w:color w:val="000000"/>
        </w:rPr>
        <w:t>coordination sécurité et protection de la santé, de contrôle technique.</w:t>
      </w:r>
    </w:p>
    <w:p w:rsidR="008A24AA" w:rsidRPr="000C1D70" w:rsidRDefault="008A24AA" w:rsidP="00F23438">
      <w:pPr>
        <w:autoSpaceDE w:val="0"/>
        <w:autoSpaceDN w:val="0"/>
        <w:adjustRightInd w:val="0"/>
        <w:spacing w:after="0" w:line="240" w:lineRule="auto"/>
        <w:jc w:val="both"/>
        <w:rPr>
          <w:rFonts w:cs="Arial"/>
          <w:color w:val="000000"/>
          <w:highlight w:val="yellow"/>
        </w:rPr>
      </w:pPr>
    </w:p>
    <w:p w:rsidR="00E37838" w:rsidRPr="000C1D70" w:rsidRDefault="00E37838" w:rsidP="00F23438">
      <w:pPr>
        <w:autoSpaceDE w:val="0"/>
        <w:autoSpaceDN w:val="0"/>
        <w:adjustRightInd w:val="0"/>
        <w:spacing w:after="0" w:line="240" w:lineRule="auto"/>
        <w:jc w:val="both"/>
        <w:rPr>
          <w:rFonts w:cs="Arial"/>
          <w:color w:val="000000"/>
        </w:rPr>
      </w:pPr>
      <w:r w:rsidRPr="000C1D70">
        <w:rPr>
          <w:rFonts w:cs="Arial"/>
          <w:color w:val="000000"/>
        </w:rPr>
        <w:t>La réalisation des travaux est conditionnée, préalablement, à la décision favorable de l’</w:t>
      </w:r>
      <w:r w:rsidR="0071308A" w:rsidRPr="000C1D70">
        <w:rPr>
          <w:rFonts w:cs="Arial"/>
          <w:color w:val="000000"/>
        </w:rPr>
        <w:t xml:space="preserve">organe </w:t>
      </w:r>
      <w:r w:rsidRPr="000C1D70">
        <w:rPr>
          <w:rFonts w:cs="Arial"/>
          <w:color w:val="000000"/>
        </w:rPr>
        <w:t>délibérant de chaque collectivité qui valide le projet et sa cont</w:t>
      </w:r>
      <w:r w:rsidR="0071308A" w:rsidRPr="000C1D70">
        <w:rPr>
          <w:rFonts w:cs="Arial"/>
          <w:color w:val="000000"/>
        </w:rPr>
        <w:t xml:space="preserve">ribution financière au titre de </w:t>
      </w:r>
      <w:r w:rsidRPr="000C1D70">
        <w:rPr>
          <w:rFonts w:cs="Arial"/>
          <w:color w:val="000000"/>
        </w:rPr>
        <w:t xml:space="preserve">l’investissement sur la base d’un plan de financement qui lui est transmis par le </w:t>
      </w:r>
      <w:r w:rsidR="008A24AA" w:rsidRPr="000C1D70">
        <w:rPr>
          <w:rFonts w:cs="Arial"/>
          <w:color w:val="000000"/>
        </w:rPr>
        <w:t>SDE 07</w:t>
      </w:r>
      <w:r w:rsidRPr="000C1D70">
        <w:rPr>
          <w:rFonts w:cs="Arial"/>
          <w:color w:val="000000"/>
        </w:rPr>
        <w:t>.</w:t>
      </w:r>
    </w:p>
    <w:p w:rsidR="008A24AA" w:rsidRPr="000C1D70" w:rsidRDefault="008A24AA" w:rsidP="00F23438">
      <w:pPr>
        <w:autoSpaceDE w:val="0"/>
        <w:autoSpaceDN w:val="0"/>
        <w:adjustRightInd w:val="0"/>
        <w:spacing w:after="0" w:line="240" w:lineRule="auto"/>
        <w:jc w:val="both"/>
        <w:rPr>
          <w:rFonts w:cs="Arial"/>
          <w:color w:val="000000"/>
          <w:highlight w:val="yellow"/>
        </w:rPr>
      </w:pPr>
    </w:p>
    <w:p w:rsidR="00E37838" w:rsidRPr="000C1D70" w:rsidRDefault="00E37838" w:rsidP="00F23438">
      <w:pPr>
        <w:autoSpaceDE w:val="0"/>
        <w:autoSpaceDN w:val="0"/>
        <w:adjustRightInd w:val="0"/>
        <w:spacing w:after="0" w:line="240" w:lineRule="auto"/>
        <w:jc w:val="both"/>
        <w:rPr>
          <w:rFonts w:cs="Arial"/>
          <w:color w:val="000000"/>
        </w:rPr>
      </w:pPr>
      <w:r w:rsidRPr="000C1D70">
        <w:rPr>
          <w:rFonts w:cs="Arial"/>
          <w:color w:val="000000"/>
        </w:rPr>
        <w:lastRenderedPageBreak/>
        <w:t>La contribution financière de la collectivité est calculée su</w:t>
      </w:r>
      <w:r w:rsidR="0071308A" w:rsidRPr="000C1D70">
        <w:rPr>
          <w:rFonts w:cs="Arial"/>
          <w:color w:val="000000"/>
        </w:rPr>
        <w:t xml:space="preserve">r la base du montant H.T. de la </w:t>
      </w:r>
      <w:r w:rsidRPr="000C1D70">
        <w:rPr>
          <w:rFonts w:cs="Arial"/>
          <w:color w:val="000000"/>
        </w:rPr>
        <w:t xml:space="preserve">dépense, le </w:t>
      </w:r>
      <w:r w:rsidR="008A24AA" w:rsidRPr="000C1D70">
        <w:rPr>
          <w:rFonts w:cs="Arial"/>
          <w:color w:val="000000"/>
        </w:rPr>
        <w:t>SDE 07</w:t>
      </w:r>
      <w:r w:rsidRPr="000C1D70">
        <w:rPr>
          <w:rFonts w:cs="Arial"/>
          <w:color w:val="000000"/>
        </w:rPr>
        <w:t xml:space="preserve"> prenant à sa charge la TVA et </w:t>
      </w:r>
      <w:r w:rsidR="0071308A" w:rsidRPr="000C1D70">
        <w:rPr>
          <w:rFonts w:cs="Arial"/>
          <w:color w:val="000000"/>
        </w:rPr>
        <w:t xml:space="preserve">sa récupération via le fonds de </w:t>
      </w:r>
      <w:r w:rsidRPr="000C1D70">
        <w:rPr>
          <w:rFonts w:cs="Arial"/>
          <w:color w:val="000000"/>
        </w:rPr>
        <w:t>compensation de la T.V.A. (F.C.T.V.A.).</w:t>
      </w:r>
    </w:p>
    <w:p w:rsidR="008A24AA" w:rsidRPr="000C1D70" w:rsidRDefault="008A24AA" w:rsidP="00F23438">
      <w:pPr>
        <w:autoSpaceDE w:val="0"/>
        <w:autoSpaceDN w:val="0"/>
        <w:adjustRightInd w:val="0"/>
        <w:spacing w:after="0" w:line="240" w:lineRule="auto"/>
        <w:jc w:val="both"/>
        <w:rPr>
          <w:rFonts w:cs="Arial"/>
          <w:color w:val="000000"/>
        </w:rPr>
      </w:pPr>
    </w:p>
    <w:p w:rsidR="00E37838" w:rsidRPr="000C1D70" w:rsidRDefault="00E37838" w:rsidP="000A7F52">
      <w:pPr>
        <w:autoSpaceDE w:val="0"/>
        <w:autoSpaceDN w:val="0"/>
        <w:adjustRightInd w:val="0"/>
        <w:spacing w:after="0" w:line="240" w:lineRule="auto"/>
        <w:jc w:val="both"/>
        <w:rPr>
          <w:rFonts w:cs="Arial"/>
          <w:color w:val="000000"/>
        </w:rPr>
      </w:pPr>
      <w:r w:rsidRPr="000C1D70">
        <w:rPr>
          <w:rFonts w:cs="Arial"/>
          <w:color w:val="000000"/>
        </w:rPr>
        <w:t>Le paiement de la contribution de la collectivité est effectué au bénéf</w:t>
      </w:r>
      <w:r w:rsidR="0071308A" w:rsidRPr="000C1D70">
        <w:rPr>
          <w:rFonts w:cs="Arial"/>
          <w:color w:val="000000"/>
        </w:rPr>
        <w:t xml:space="preserve">ice du </w:t>
      </w:r>
      <w:r w:rsidR="008A24AA" w:rsidRPr="000C1D70">
        <w:rPr>
          <w:rFonts w:cs="Arial"/>
          <w:color w:val="000000"/>
        </w:rPr>
        <w:t>SDE 07</w:t>
      </w:r>
      <w:r w:rsidR="0071308A" w:rsidRPr="000C1D70">
        <w:rPr>
          <w:rFonts w:cs="Arial"/>
          <w:color w:val="000000"/>
        </w:rPr>
        <w:t xml:space="preserve">, à </w:t>
      </w:r>
      <w:r w:rsidRPr="000C1D70">
        <w:rPr>
          <w:rFonts w:cs="Arial"/>
          <w:color w:val="000000"/>
        </w:rPr>
        <w:t xml:space="preserve">l’achèvement des travaux d’investissement constaté par le </w:t>
      </w:r>
      <w:r w:rsidR="008A24AA" w:rsidRPr="000C1D70">
        <w:rPr>
          <w:rFonts w:cs="Arial"/>
          <w:color w:val="000000"/>
        </w:rPr>
        <w:t>SDE 07</w:t>
      </w:r>
      <w:r w:rsidRPr="000C1D70">
        <w:rPr>
          <w:rFonts w:cs="Arial"/>
          <w:color w:val="000000"/>
        </w:rPr>
        <w:t>.</w:t>
      </w:r>
    </w:p>
    <w:p w:rsidR="00E37838" w:rsidRPr="000C1D70" w:rsidRDefault="00E37838" w:rsidP="00084749">
      <w:pPr>
        <w:pStyle w:val="Reglementtitre"/>
        <w:rPr>
          <w:rFonts w:asciiTheme="minorHAnsi" w:hAnsiTheme="minorHAnsi"/>
        </w:rPr>
      </w:pPr>
      <w:bookmarkStart w:id="24" w:name="_Toc431460282"/>
      <w:r w:rsidRPr="000C1D70">
        <w:rPr>
          <w:rFonts w:asciiTheme="minorHAnsi" w:hAnsiTheme="minorHAnsi"/>
        </w:rPr>
        <w:t>5.2 Contribution aux charges d’exploitation par les usagers</w:t>
      </w:r>
      <w:bookmarkEnd w:id="24"/>
    </w:p>
    <w:p w:rsidR="004F66C5" w:rsidRPr="000C1D70" w:rsidRDefault="004F66C5" w:rsidP="00F23438">
      <w:pPr>
        <w:spacing w:after="0" w:line="240" w:lineRule="auto"/>
        <w:jc w:val="both"/>
        <w:rPr>
          <w:rFonts w:cs="Arial"/>
          <w:color w:val="000000"/>
        </w:rPr>
      </w:pPr>
    </w:p>
    <w:p w:rsidR="0071308A" w:rsidRPr="000C1D70" w:rsidRDefault="00E37838" w:rsidP="00F23438">
      <w:pPr>
        <w:spacing w:after="0" w:line="240" w:lineRule="auto"/>
        <w:jc w:val="both"/>
        <w:rPr>
          <w:rFonts w:cs="Arial"/>
        </w:rPr>
      </w:pPr>
      <w:r w:rsidRPr="000C1D70">
        <w:rPr>
          <w:rFonts w:cs="Arial"/>
          <w:color w:val="000000"/>
        </w:rPr>
        <w:t>La contribution au titre des charges d’exploitation est payée par l’usager du service.</w:t>
      </w:r>
    </w:p>
    <w:p w:rsidR="008A24AA" w:rsidRPr="000C1D70" w:rsidRDefault="008A24AA" w:rsidP="00F23438">
      <w:pPr>
        <w:spacing w:after="0" w:line="240" w:lineRule="auto"/>
        <w:jc w:val="both"/>
        <w:rPr>
          <w:rFonts w:cs="Arial"/>
          <w:highlight w:val="yellow"/>
        </w:rPr>
      </w:pPr>
    </w:p>
    <w:p w:rsidR="0071308A" w:rsidRPr="000C1D70" w:rsidRDefault="0071308A" w:rsidP="00F23438">
      <w:pPr>
        <w:spacing w:after="0" w:line="240" w:lineRule="auto"/>
        <w:jc w:val="both"/>
        <w:rPr>
          <w:rFonts w:cs="Arial"/>
        </w:rPr>
      </w:pPr>
      <w:r w:rsidRPr="000C1D70">
        <w:rPr>
          <w:rFonts w:cs="Arial"/>
        </w:rPr>
        <w:t>La gestion des transactions financières pourra être confiée au travers d’un contrat conclu après publicité et mise en concurrence à un opérateur spécialisé.</w:t>
      </w:r>
    </w:p>
    <w:p w:rsidR="008A24AA" w:rsidRPr="000C1D70" w:rsidRDefault="008A24AA" w:rsidP="00F23438">
      <w:pPr>
        <w:autoSpaceDE w:val="0"/>
        <w:autoSpaceDN w:val="0"/>
        <w:adjustRightInd w:val="0"/>
        <w:spacing w:after="0" w:line="240" w:lineRule="auto"/>
        <w:jc w:val="both"/>
        <w:rPr>
          <w:rFonts w:cs="Arial"/>
          <w:highlight w:val="yellow"/>
        </w:rPr>
      </w:pPr>
    </w:p>
    <w:p w:rsidR="0071308A" w:rsidRPr="000C1D70" w:rsidRDefault="0071308A" w:rsidP="00F23438">
      <w:pPr>
        <w:autoSpaceDE w:val="0"/>
        <w:autoSpaceDN w:val="0"/>
        <w:adjustRightInd w:val="0"/>
        <w:spacing w:after="0" w:line="240" w:lineRule="auto"/>
        <w:jc w:val="both"/>
        <w:rPr>
          <w:rFonts w:cs="Arial"/>
        </w:rPr>
      </w:pPr>
      <w:r w:rsidRPr="000C1D70">
        <w:rPr>
          <w:rFonts w:cs="Arial"/>
        </w:rPr>
        <w:t>Le système d’identification étant couplé au système de paiement, l’usager pourra avoir accès aux infrastructures et régler ses charges avec un unique système.</w:t>
      </w:r>
    </w:p>
    <w:p w:rsidR="008A24AA" w:rsidRPr="000C1D70" w:rsidRDefault="008A24AA" w:rsidP="00F23438">
      <w:pPr>
        <w:autoSpaceDE w:val="0"/>
        <w:autoSpaceDN w:val="0"/>
        <w:adjustRightInd w:val="0"/>
        <w:spacing w:after="0" w:line="240" w:lineRule="auto"/>
        <w:jc w:val="both"/>
        <w:rPr>
          <w:rFonts w:cs="Arial"/>
          <w:highlight w:val="yellow"/>
        </w:rPr>
      </w:pPr>
    </w:p>
    <w:p w:rsidR="0071308A" w:rsidRPr="000C1D70" w:rsidRDefault="0071308A" w:rsidP="00F23438">
      <w:pPr>
        <w:autoSpaceDE w:val="0"/>
        <w:autoSpaceDN w:val="0"/>
        <w:adjustRightInd w:val="0"/>
        <w:spacing w:after="0" w:line="240" w:lineRule="auto"/>
        <w:jc w:val="both"/>
        <w:rPr>
          <w:rFonts w:cs="Arial"/>
        </w:rPr>
      </w:pPr>
      <w:r w:rsidRPr="000C1D70">
        <w:rPr>
          <w:rFonts w:cs="Arial"/>
        </w:rPr>
        <w:t>Le coût de la charge est fixé chaque année par le Comité syndical.</w:t>
      </w:r>
    </w:p>
    <w:p w:rsidR="008A24AA" w:rsidRPr="000C1D70" w:rsidRDefault="008A24AA" w:rsidP="00F23438">
      <w:pPr>
        <w:autoSpaceDE w:val="0"/>
        <w:autoSpaceDN w:val="0"/>
        <w:adjustRightInd w:val="0"/>
        <w:spacing w:after="0" w:line="240" w:lineRule="auto"/>
        <w:jc w:val="both"/>
        <w:rPr>
          <w:rFonts w:cs="Arial"/>
          <w:highlight w:val="yellow"/>
        </w:rPr>
      </w:pPr>
    </w:p>
    <w:p w:rsidR="0071308A" w:rsidRPr="000C1D70" w:rsidRDefault="0071308A" w:rsidP="00F23438">
      <w:pPr>
        <w:autoSpaceDE w:val="0"/>
        <w:autoSpaceDN w:val="0"/>
        <w:adjustRightInd w:val="0"/>
        <w:spacing w:after="0" w:line="240" w:lineRule="auto"/>
        <w:jc w:val="both"/>
        <w:rPr>
          <w:rFonts w:cs="Arial"/>
        </w:rPr>
      </w:pPr>
      <w:r w:rsidRPr="000C1D70">
        <w:rPr>
          <w:rFonts w:cs="Arial"/>
        </w:rPr>
        <w:t xml:space="preserve">Le </w:t>
      </w:r>
      <w:r w:rsidR="008A24AA" w:rsidRPr="000C1D70">
        <w:rPr>
          <w:rFonts w:cs="Arial"/>
        </w:rPr>
        <w:t>SDE 07</w:t>
      </w:r>
      <w:r w:rsidRPr="000C1D70">
        <w:rPr>
          <w:rFonts w:cs="Arial"/>
        </w:rPr>
        <w:t xml:space="preserve"> perçoit les recettes liées à l’utilisation des infrastructures de charge par les usagers, sauf modalités d’exploitation contractuelles des bornes différentes.</w:t>
      </w:r>
    </w:p>
    <w:p w:rsidR="00B7020C" w:rsidRPr="000C1D70" w:rsidRDefault="00B7020C" w:rsidP="00F23438">
      <w:pPr>
        <w:autoSpaceDE w:val="0"/>
        <w:autoSpaceDN w:val="0"/>
        <w:adjustRightInd w:val="0"/>
        <w:spacing w:after="0" w:line="240" w:lineRule="auto"/>
        <w:jc w:val="both"/>
        <w:rPr>
          <w:rFonts w:cs="Arial"/>
        </w:rPr>
      </w:pPr>
    </w:p>
    <w:p w:rsidR="0071308A" w:rsidRPr="000C1D70" w:rsidRDefault="0071308A" w:rsidP="00F23438">
      <w:pPr>
        <w:autoSpaceDE w:val="0"/>
        <w:autoSpaceDN w:val="0"/>
        <w:adjustRightInd w:val="0"/>
        <w:spacing w:after="0" w:line="240" w:lineRule="auto"/>
        <w:jc w:val="both"/>
        <w:rPr>
          <w:rFonts w:cs="Arial"/>
        </w:rPr>
      </w:pPr>
      <w:r w:rsidRPr="000C1D70">
        <w:rPr>
          <w:rFonts w:cs="Arial"/>
        </w:rPr>
        <w:t>Ces recettes contribuent au financement de l’entretien et de l’exploitation des infrastructures de charge.</w:t>
      </w:r>
    </w:p>
    <w:p w:rsidR="0071308A" w:rsidRPr="000C1D70" w:rsidRDefault="0071308A" w:rsidP="0071308A">
      <w:pPr>
        <w:autoSpaceDE w:val="0"/>
        <w:autoSpaceDN w:val="0"/>
        <w:adjustRightInd w:val="0"/>
        <w:spacing w:after="0" w:line="240" w:lineRule="auto"/>
        <w:rPr>
          <w:rFonts w:cs="Arial"/>
          <w:b/>
          <w:bCs/>
          <w:sz w:val="26"/>
          <w:szCs w:val="26"/>
          <w:highlight w:val="yellow"/>
        </w:rPr>
      </w:pPr>
    </w:p>
    <w:p w:rsidR="009439FF" w:rsidRPr="000C1D70" w:rsidRDefault="009439FF" w:rsidP="0071308A">
      <w:pPr>
        <w:autoSpaceDE w:val="0"/>
        <w:autoSpaceDN w:val="0"/>
        <w:adjustRightInd w:val="0"/>
        <w:spacing w:after="0" w:line="240" w:lineRule="auto"/>
        <w:rPr>
          <w:rFonts w:cs="Arial"/>
          <w:b/>
          <w:bCs/>
          <w:sz w:val="26"/>
          <w:szCs w:val="26"/>
          <w:highlight w:val="yellow"/>
        </w:rPr>
      </w:pPr>
    </w:p>
    <w:p w:rsidR="0071308A" w:rsidRPr="000C1D70" w:rsidRDefault="0071308A" w:rsidP="00084749">
      <w:pPr>
        <w:pStyle w:val="Reglementtitre"/>
        <w:rPr>
          <w:rFonts w:asciiTheme="minorHAnsi" w:hAnsiTheme="minorHAnsi"/>
        </w:rPr>
      </w:pPr>
      <w:bookmarkStart w:id="25" w:name="_Toc431460283"/>
      <w:r w:rsidRPr="000C1D70">
        <w:rPr>
          <w:rFonts w:asciiTheme="minorHAnsi" w:hAnsiTheme="minorHAnsi"/>
        </w:rPr>
        <w:t>5.3 Contribution aux charges d’exploitation par la collectivité</w:t>
      </w:r>
      <w:bookmarkEnd w:id="25"/>
    </w:p>
    <w:p w:rsidR="008A24AA" w:rsidRPr="000C1D70" w:rsidRDefault="008A24AA" w:rsidP="0071308A">
      <w:pPr>
        <w:autoSpaceDE w:val="0"/>
        <w:autoSpaceDN w:val="0"/>
        <w:adjustRightInd w:val="0"/>
        <w:spacing w:after="0" w:line="240" w:lineRule="auto"/>
        <w:rPr>
          <w:rFonts w:cs="Arial"/>
        </w:rPr>
      </w:pPr>
    </w:p>
    <w:p w:rsidR="0071308A" w:rsidRPr="000C1D70" w:rsidRDefault="0071308A" w:rsidP="004F66C5">
      <w:pPr>
        <w:autoSpaceDE w:val="0"/>
        <w:autoSpaceDN w:val="0"/>
        <w:adjustRightInd w:val="0"/>
        <w:spacing w:after="0" w:line="240" w:lineRule="auto"/>
        <w:jc w:val="both"/>
        <w:rPr>
          <w:rFonts w:cs="Arial"/>
        </w:rPr>
      </w:pPr>
      <w:r w:rsidRPr="000C1D70">
        <w:rPr>
          <w:rFonts w:cs="Arial"/>
        </w:rPr>
        <w:t>Pour le fonctionnement (charges d’exploitation)</w:t>
      </w:r>
      <w:r w:rsidR="00B55302" w:rsidRPr="000C1D70">
        <w:rPr>
          <w:rFonts w:cs="Arial"/>
        </w:rPr>
        <w:t xml:space="preserve"> des bornes </w:t>
      </w:r>
      <w:r w:rsidR="00B55302" w:rsidRPr="000C1D70">
        <w:rPr>
          <w:rFonts w:cs="Arial"/>
          <w:color w:val="000000"/>
        </w:rPr>
        <w:t>normales/accélérées</w:t>
      </w:r>
      <w:r w:rsidRPr="000C1D70">
        <w:rPr>
          <w:rFonts w:cs="Arial"/>
        </w:rPr>
        <w:t xml:space="preserve">, </w:t>
      </w:r>
      <w:r w:rsidR="004F66C5" w:rsidRPr="000C1D70">
        <w:rPr>
          <w:rFonts w:cs="Arial"/>
        </w:rPr>
        <w:t xml:space="preserve">le Syndicat </w:t>
      </w:r>
      <w:r w:rsidR="00AC28DD" w:rsidRPr="000C1D70">
        <w:rPr>
          <w:rFonts w:cs="Arial"/>
        </w:rPr>
        <w:t>contribue seul aux coûts</w:t>
      </w:r>
      <w:r w:rsidR="004F66C5" w:rsidRPr="000C1D70">
        <w:rPr>
          <w:rFonts w:cs="Arial"/>
        </w:rPr>
        <w:t xml:space="preserve"> de fonctionnement</w:t>
      </w:r>
      <w:r w:rsidR="00B55302" w:rsidRPr="000C1D70">
        <w:rPr>
          <w:rFonts w:cs="Arial"/>
        </w:rPr>
        <w:t xml:space="preserve"> jusqu’au 31 décembre 2017.</w:t>
      </w:r>
    </w:p>
    <w:p w:rsidR="00CA1A1F" w:rsidRPr="000C1D70" w:rsidRDefault="00CA1A1F" w:rsidP="00DA41EB">
      <w:pPr>
        <w:spacing w:after="0" w:line="240" w:lineRule="auto"/>
        <w:jc w:val="both"/>
        <w:rPr>
          <w:rFonts w:cs="Arial"/>
        </w:rPr>
      </w:pPr>
    </w:p>
    <w:p w:rsidR="003414C7" w:rsidRPr="000C1D70" w:rsidRDefault="00DA41EB" w:rsidP="00DA41EB">
      <w:pPr>
        <w:spacing w:after="0" w:line="240" w:lineRule="auto"/>
        <w:jc w:val="both"/>
        <w:rPr>
          <w:rFonts w:cs="Arial"/>
        </w:rPr>
      </w:pPr>
      <w:r w:rsidRPr="000C1D70">
        <w:rPr>
          <w:rFonts w:cs="Arial"/>
        </w:rPr>
        <w:t xml:space="preserve">A titre indicatif, </w:t>
      </w:r>
      <w:r w:rsidR="009570DE" w:rsidRPr="000C1D70">
        <w:rPr>
          <w:rFonts w:cs="Arial"/>
        </w:rPr>
        <w:t>le coût de fonctionnement d’une born</w:t>
      </w:r>
      <w:r w:rsidR="00D47E03" w:rsidRPr="000C1D70">
        <w:rPr>
          <w:rFonts w:cs="Arial"/>
        </w:rPr>
        <w:t>e normale/accélérée est estimé</w:t>
      </w:r>
      <w:r w:rsidR="00CA1A1F" w:rsidRPr="000C1D70">
        <w:rPr>
          <w:rFonts w:cs="Arial"/>
        </w:rPr>
        <w:t xml:space="preserve"> à 1050 </w:t>
      </w:r>
      <w:r w:rsidR="009570DE" w:rsidRPr="000C1D70">
        <w:rPr>
          <w:rFonts w:cs="Arial"/>
        </w:rPr>
        <w:t>€</w:t>
      </w:r>
      <w:r w:rsidR="00CA1A1F" w:rsidRPr="000C1D70">
        <w:rPr>
          <w:rFonts w:cs="Arial"/>
        </w:rPr>
        <w:t xml:space="preserve"> HT</w:t>
      </w:r>
      <w:r w:rsidR="009570DE" w:rsidRPr="000C1D70">
        <w:rPr>
          <w:rFonts w:cs="Arial"/>
        </w:rPr>
        <w:t xml:space="preserve"> /an</w:t>
      </w:r>
      <w:r w:rsidRPr="000C1D70">
        <w:rPr>
          <w:rFonts w:cs="Arial"/>
        </w:rPr>
        <w:t>.</w:t>
      </w:r>
    </w:p>
    <w:p w:rsidR="00DA41EB" w:rsidRPr="000C1D70" w:rsidRDefault="00DA41EB" w:rsidP="00F23438">
      <w:pPr>
        <w:spacing w:after="0" w:line="240" w:lineRule="auto"/>
        <w:jc w:val="both"/>
        <w:rPr>
          <w:rFonts w:cs="Arial"/>
        </w:rPr>
      </w:pPr>
    </w:p>
    <w:p w:rsidR="00E37838" w:rsidRPr="000C1D70" w:rsidRDefault="0071308A" w:rsidP="00F23438">
      <w:pPr>
        <w:spacing w:after="0" w:line="240" w:lineRule="auto"/>
        <w:jc w:val="both"/>
        <w:rPr>
          <w:rFonts w:cs="Arial"/>
        </w:rPr>
      </w:pPr>
      <w:r w:rsidRPr="000C1D70">
        <w:rPr>
          <w:rFonts w:cs="Arial"/>
        </w:rPr>
        <w:t xml:space="preserve">Pour les bornes rapides, aucune contribution ne </w:t>
      </w:r>
      <w:r w:rsidR="003E6296" w:rsidRPr="000C1D70">
        <w:rPr>
          <w:rFonts w:cs="Arial"/>
        </w:rPr>
        <w:t>sera demandée à la collectivité</w:t>
      </w:r>
      <w:r w:rsidR="00D47E03" w:rsidRPr="000C1D70">
        <w:rPr>
          <w:rFonts w:cs="Arial"/>
        </w:rPr>
        <w:t>, à titre indicatif le coût de fonctionnement est évalué à 1 500 € HT / an.</w:t>
      </w:r>
    </w:p>
    <w:p w:rsidR="003414C7" w:rsidRPr="000C1D70" w:rsidRDefault="003414C7" w:rsidP="0071308A">
      <w:pPr>
        <w:autoSpaceDE w:val="0"/>
        <w:autoSpaceDN w:val="0"/>
        <w:adjustRightInd w:val="0"/>
        <w:spacing w:after="0" w:line="240" w:lineRule="auto"/>
        <w:rPr>
          <w:rFonts w:cs="Arial"/>
          <w:b/>
          <w:bCs/>
          <w:sz w:val="26"/>
          <w:szCs w:val="26"/>
          <w:highlight w:val="yellow"/>
        </w:rPr>
      </w:pPr>
    </w:p>
    <w:p w:rsidR="004F66C5" w:rsidRPr="000C1D70" w:rsidRDefault="004F66C5" w:rsidP="0071308A">
      <w:pPr>
        <w:autoSpaceDE w:val="0"/>
        <w:autoSpaceDN w:val="0"/>
        <w:adjustRightInd w:val="0"/>
        <w:spacing w:after="0" w:line="240" w:lineRule="auto"/>
        <w:rPr>
          <w:rFonts w:cs="Arial"/>
          <w:b/>
          <w:bCs/>
          <w:sz w:val="26"/>
          <w:szCs w:val="26"/>
          <w:highlight w:val="yellow"/>
        </w:rPr>
      </w:pPr>
    </w:p>
    <w:p w:rsidR="0071308A" w:rsidRPr="000C1D70" w:rsidRDefault="0071308A" w:rsidP="00084749">
      <w:pPr>
        <w:pStyle w:val="ReglementChapitre"/>
        <w:rPr>
          <w:rFonts w:asciiTheme="minorHAnsi" w:hAnsiTheme="minorHAnsi"/>
        </w:rPr>
      </w:pPr>
      <w:bookmarkStart w:id="26" w:name="_Toc431460284"/>
      <w:r w:rsidRPr="000C1D70">
        <w:rPr>
          <w:rFonts w:asciiTheme="minorHAnsi" w:hAnsiTheme="minorHAnsi"/>
        </w:rPr>
        <w:t>CHAPITRE 6 – MODIFICATION DU PRESENT DOCUMENT</w:t>
      </w:r>
      <w:bookmarkEnd w:id="26"/>
    </w:p>
    <w:p w:rsidR="003414C7" w:rsidRPr="000C1D70" w:rsidRDefault="003414C7" w:rsidP="0071308A">
      <w:pPr>
        <w:autoSpaceDE w:val="0"/>
        <w:autoSpaceDN w:val="0"/>
        <w:adjustRightInd w:val="0"/>
        <w:spacing w:after="0" w:line="240" w:lineRule="auto"/>
        <w:rPr>
          <w:rFonts w:cs="Arial"/>
          <w:sz w:val="23"/>
          <w:szCs w:val="23"/>
          <w:highlight w:val="yellow"/>
        </w:rPr>
      </w:pPr>
    </w:p>
    <w:p w:rsidR="0071308A" w:rsidRPr="000C1D70" w:rsidRDefault="0071308A" w:rsidP="00F23438">
      <w:pPr>
        <w:autoSpaceDE w:val="0"/>
        <w:autoSpaceDN w:val="0"/>
        <w:adjustRightInd w:val="0"/>
        <w:spacing w:after="0" w:line="240" w:lineRule="auto"/>
        <w:jc w:val="both"/>
        <w:rPr>
          <w:rFonts w:cs="Arial"/>
          <w:sz w:val="23"/>
          <w:szCs w:val="23"/>
        </w:rPr>
      </w:pPr>
      <w:r w:rsidRPr="000C1D70">
        <w:rPr>
          <w:rFonts w:cs="Arial"/>
          <w:sz w:val="23"/>
          <w:szCs w:val="23"/>
        </w:rPr>
        <w:t xml:space="preserve">Ce document est établi et adopté par le </w:t>
      </w:r>
      <w:r w:rsidR="00D86E66" w:rsidRPr="000C1D70">
        <w:rPr>
          <w:rFonts w:cs="Arial"/>
          <w:sz w:val="23"/>
          <w:szCs w:val="23"/>
        </w:rPr>
        <w:t>comité</w:t>
      </w:r>
      <w:r w:rsidRPr="000C1D70">
        <w:rPr>
          <w:rFonts w:cs="Arial"/>
          <w:sz w:val="23"/>
          <w:szCs w:val="23"/>
        </w:rPr>
        <w:t xml:space="preserve"> syndical.</w:t>
      </w:r>
    </w:p>
    <w:p w:rsidR="0071308A" w:rsidRPr="000C1D70" w:rsidRDefault="0071308A" w:rsidP="0071308A">
      <w:pPr>
        <w:autoSpaceDE w:val="0"/>
        <w:autoSpaceDN w:val="0"/>
        <w:adjustRightInd w:val="0"/>
        <w:spacing w:after="0" w:line="240" w:lineRule="auto"/>
        <w:rPr>
          <w:rFonts w:cs="Arial"/>
          <w:b/>
          <w:bCs/>
          <w:sz w:val="26"/>
          <w:szCs w:val="26"/>
          <w:highlight w:val="yellow"/>
        </w:rPr>
      </w:pPr>
    </w:p>
    <w:p w:rsidR="003414C7" w:rsidRPr="000C1D70" w:rsidRDefault="003414C7" w:rsidP="0071308A">
      <w:pPr>
        <w:autoSpaceDE w:val="0"/>
        <w:autoSpaceDN w:val="0"/>
        <w:adjustRightInd w:val="0"/>
        <w:spacing w:after="0" w:line="240" w:lineRule="auto"/>
        <w:rPr>
          <w:rFonts w:cs="Arial"/>
          <w:b/>
          <w:bCs/>
          <w:sz w:val="26"/>
          <w:szCs w:val="26"/>
        </w:rPr>
      </w:pPr>
    </w:p>
    <w:p w:rsidR="003414C7" w:rsidRPr="000C1D70" w:rsidRDefault="0071308A" w:rsidP="00084749">
      <w:pPr>
        <w:pStyle w:val="ReglementChapitre"/>
        <w:rPr>
          <w:rFonts w:asciiTheme="minorHAnsi" w:hAnsiTheme="minorHAnsi"/>
        </w:rPr>
      </w:pPr>
      <w:bookmarkStart w:id="27" w:name="_Toc431460285"/>
      <w:r w:rsidRPr="000C1D70">
        <w:rPr>
          <w:rFonts w:asciiTheme="minorHAnsi" w:hAnsiTheme="minorHAnsi"/>
        </w:rPr>
        <w:t>CHAPITRE 7 - LEXIQUE</w:t>
      </w:r>
      <w:bookmarkEnd w:id="27"/>
    </w:p>
    <w:p w:rsidR="006670E1" w:rsidRPr="000C1D70" w:rsidRDefault="006670E1" w:rsidP="00F23438">
      <w:pPr>
        <w:autoSpaceDE w:val="0"/>
        <w:autoSpaceDN w:val="0"/>
        <w:adjustRightInd w:val="0"/>
        <w:spacing w:after="0" w:line="240" w:lineRule="auto"/>
        <w:jc w:val="both"/>
        <w:rPr>
          <w:rFonts w:cs="Arial"/>
        </w:rPr>
      </w:pPr>
    </w:p>
    <w:p w:rsidR="0071308A" w:rsidRPr="000C1D70" w:rsidRDefault="0071308A" w:rsidP="00F23438">
      <w:pPr>
        <w:autoSpaceDE w:val="0"/>
        <w:autoSpaceDN w:val="0"/>
        <w:adjustRightInd w:val="0"/>
        <w:spacing w:after="0" w:line="240" w:lineRule="auto"/>
        <w:jc w:val="both"/>
        <w:rPr>
          <w:rFonts w:cs="Arial"/>
        </w:rPr>
      </w:pPr>
      <w:r w:rsidRPr="000C1D70">
        <w:rPr>
          <w:rFonts w:cs="Arial"/>
        </w:rPr>
        <w:t>IRVE : infrastructure de charge pour véhicules électriques</w:t>
      </w:r>
    </w:p>
    <w:p w:rsidR="0071308A" w:rsidRPr="000C1D70" w:rsidRDefault="0071308A" w:rsidP="00F23438">
      <w:pPr>
        <w:autoSpaceDE w:val="0"/>
        <w:autoSpaceDN w:val="0"/>
        <w:adjustRightInd w:val="0"/>
        <w:spacing w:after="0" w:line="240" w:lineRule="auto"/>
        <w:jc w:val="both"/>
        <w:rPr>
          <w:rFonts w:cs="Arial"/>
        </w:rPr>
      </w:pPr>
      <w:r w:rsidRPr="000C1D70">
        <w:rPr>
          <w:rFonts w:cs="Arial"/>
        </w:rPr>
        <w:t>Usager : utilisateur du service de charge, qu’il soit ou non propriétaire du véhicule et à condition qu’il soit en possession du badge.</w:t>
      </w:r>
    </w:p>
    <w:p w:rsidR="0071308A" w:rsidRPr="000C1D70" w:rsidRDefault="0071308A" w:rsidP="00F23438">
      <w:pPr>
        <w:autoSpaceDE w:val="0"/>
        <w:autoSpaceDN w:val="0"/>
        <w:adjustRightInd w:val="0"/>
        <w:spacing w:after="0" w:line="240" w:lineRule="auto"/>
        <w:jc w:val="both"/>
        <w:rPr>
          <w:rFonts w:cs="Arial"/>
        </w:rPr>
      </w:pPr>
      <w:r w:rsidRPr="000C1D70">
        <w:rPr>
          <w:rFonts w:cs="Arial"/>
        </w:rPr>
        <w:t>VE : désigne tout véhicule électrique ou hybride rechargeable, ainsi que les deux-roues (vélo, scooter, moto, …) électriques</w:t>
      </w:r>
    </w:p>
    <w:p w:rsidR="0071308A" w:rsidRPr="000C1D70" w:rsidRDefault="0071308A" w:rsidP="00E37838">
      <w:pPr>
        <w:rPr>
          <w:rFonts w:cs="Arial"/>
        </w:rPr>
      </w:pPr>
    </w:p>
    <w:p w:rsidR="0071308A" w:rsidRPr="000C1D70" w:rsidRDefault="0071308A" w:rsidP="00E37838">
      <w:pPr>
        <w:rPr>
          <w:rFonts w:cs="Arial"/>
        </w:rPr>
      </w:pPr>
    </w:p>
    <w:sectPr w:rsidR="0071308A" w:rsidRPr="000C1D70" w:rsidSect="00D863F0">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E03" w:rsidRDefault="00D47E03" w:rsidP="00C43FA4">
      <w:pPr>
        <w:spacing w:after="0" w:line="240" w:lineRule="auto"/>
      </w:pPr>
      <w:r>
        <w:separator/>
      </w:r>
    </w:p>
  </w:endnote>
  <w:endnote w:type="continuationSeparator" w:id="0">
    <w:p w:rsidR="00D47E03" w:rsidRDefault="00D47E03" w:rsidP="00C43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E03" w:rsidRPr="00745744" w:rsidRDefault="00D47E03" w:rsidP="001D46A3">
    <w:pPr>
      <w:spacing w:after="0" w:line="240" w:lineRule="auto"/>
      <w:rPr>
        <w:rFonts w:ascii="Arial" w:eastAsiaTheme="minorEastAsia" w:hAnsi="Arial" w:cs="Arial"/>
        <w:b/>
        <w:caps/>
        <w:noProof/>
        <w:color w:val="000000"/>
        <w:sz w:val="18"/>
        <w:szCs w:val="18"/>
        <w:lang w:eastAsia="fr-FR"/>
      </w:rPr>
    </w:pPr>
    <w:r w:rsidRPr="00745744">
      <w:rPr>
        <w:rFonts w:ascii="Arial" w:eastAsiaTheme="minorEastAsia" w:hAnsi="Arial" w:cs="Arial"/>
        <w:b/>
        <w:caps/>
        <w:noProof/>
        <w:color w:val="000000"/>
        <w:sz w:val="18"/>
        <w:szCs w:val="18"/>
        <w:lang w:eastAsia="fr-FR"/>
      </w:rPr>
      <w:t>Syndicat Départemental d’Energies de l’Ardèche (SDE 07)</w:t>
    </w:r>
  </w:p>
  <w:p w:rsidR="00D47E03" w:rsidRPr="00745744" w:rsidRDefault="00D47E03" w:rsidP="001D46A3">
    <w:pPr>
      <w:spacing w:after="0" w:line="240" w:lineRule="auto"/>
      <w:rPr>
        <w:rFonts w:ascii="Arial" w:eastAsiaTheme="minorEastAsia" w:hAnsi="Arial" w:cs="Arial"/>
        <w:b/>
        <w:bCs/>
        <w:noProof/>
        <w:color w:val="000000"/>
        <w:sz w:val="18"/>
        <w:szCs w:val="18"/>
        <w:lang w:eastAsia="fr-FR"/>
      </w:rPr>
    </w:pPr>
    <w:r w:rsidRPr="00745744">
      <w:rPr>
        <w:rFonts w:ascii="Arial" w:eastAsiaTheme="minorEastAsia" w:hAnsi="Arial" w:cs="Arial"/>
        <w:noProof/>
        <w:color w:val="000000"/>
        <w:sz w:val="4"/>
        <w:szCs w:val="4"/>
        <w:lang w:eastAsia="fr-FR"/>
      </w:rPr>
      <w:br/>
    </w:r>
    <w:r w:rsidRPr="00745744">
      <w:rPr>
        <w:rFonts w:ascii="Arial" w:eastAsiaTheme="minorEastAsia" w:hAnsi="Arial" w:cs="Arial"/>
        <w:noProof/>
        <w:color w:val="000000"/>
        <w:sz w:val="18"/>
        <w:szCs w:val="18"/>
        <w:lang w:eastAsia="fr-FR"/>
      </w:rPr>
      <w:t>283 chemin d’Argevillières  - B.P. 616 - 07006 PRIVAS cedex</w:t>
    </w:r>
    <w:r w:rsidRPr="00745744">
      <w:rPr>
        <w:rFonts w:ascii="Arial" w:eastAsiaTheme="minorEastAsia" w:hAnsi="Arial" w:cs="Arial"/>
        <w:noProof/>
        <w:color w:val="000000"/>
        <w:sz w:val="18"/>
        <w:szCs w:val="18"/>
        <w:lang w:eastAsia="fr-FR"/>
      </w:rPr>
      <w:br/>
      <w:t>Téléphone : 04 75 66 38 90 - Télécopie : 04 75 66 38 91 - Email :</w:t>
    </w:r>
    <w:r w:rsidRPr="00745744">
      <w:rPr>
        <w:rFonts w:ascii="Arial" w:hAnsi="Arial" w:cs="Arial"/>
        <w:sz w:val="18"/>
        <w:szCs w:val="18"/>
      </w:rPr>
      <w:t xml:space="preserve"> </w:t>
    </w:r>
    <w:hyperlink r:id="rId1" w:history="1">
      <w:r w:rsidRPr="00745744">
        <w:rPr>
          <w:rStyle w:val="Lienhypertexte"/>
          <w:rFonts w:ascii="Arial" w:eastAsiaTheme="minorEastAsia" w:hAnsi="Arial" w:cs="Arial"/>
          <w:noProof/>
          <w:sz w:val="18"/>
          <w:szCs w:val="18"/>
          <w:lang w:eastAsia="fr-FR"/>
        </w:rPr>
        <w:t>sde07@sde07.com -</w:t>
      </w:r>
    </w:hyperlink>
    <w:r w:rsidRPr="00745744">
      <w:rPr>
        <w:rFonts w:ascii="Arial" w:eastAsiaTheme="minorEastAsia" w:hAnsi="Arial" w:cs="Arial"/>
        <w:noProof/>
        <w:color w:val="000000"/>
        <w:sz w:val="18"/>
        <w:szCs w:val="18"/>
        <w:lang w:eastAsia="fr-FR"/>
      </w:rPr>
      <w:t xml:space="preserve">   </w:t>
    </w:r>
    <w:hyperlink r:id="rId2" w:history="1">
      <w:r w:rsidRPr="00745744">
        <w:rPr>
          <w:rFonts w:ascii="Arial" w:hAnsi="Arial" w:cs="Arial"/>
          <w:color w:val="000000"/>
          <w:sz w:val="18"/>
          <w:szCs w:val="18"/>
        </w:rPr>
        <w:t>www.sde07.com</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9327471"/>
      <w:docPartObj>
        <w:docPartGallery w:val="Page Numbers (Bottom of Page)"/>
        <w:docPartUnique/>
      </w:docPartObj>
    </w:sdtPr>
    <w:sdtEndPr/>
    <w:sdtContent>
      <w:sdt>
        <w:sdtPr>
          <w:id w:val="860082579"/>
          <w:docPartObj>
            <w:docPartGallery w:val="Page Numbers (Top of Page)"/>
            <w:docPartUnique/>
          </w:docPartObj>
        </w:sdtPr>
        <w:sdtEndPr/>
        <w:sdtContent>
          <w:p w:rsidR="00D47E03" w:rsidRPr="001D46A3" w:rsidRDefault="00D47E03" w:rsidP="00745744">
            <w:pPr>
              <w:pStyle w:val="Pieddepage"/>
              <w:jc w:val="right"/>
            </w:pPr>
            <w:r>
              <w:t xml:space="preserve"> </w:t>
            </w:r>
            <w:r w:rsidRPr="00745744">
              <w:rPr>
                <w:rFonts w:ascii="Arial" w:hAnsi="Arial" w:cs="Arial"/>
                <w:sz w:val="18"/>
                <w:szCs w:val="18"/>
              </w:rPr>
              <w:t xml:space="preserve">Page </w:t>
            </w:r>
            <w:r w:rsidRPr="00745744">
              <w:rPr>
                <w:rFonts w:ascii="Arial" w:hAnsi="Arial" w:cs="Arial"/>
                <w:b/>
                <w:bCs/>
                <w:sz w:val="18"/>
                <w:szCs w:val="18"/>
              </w:rPr>
              <w:fldChar w:fldCharType="begin"/>
            </w:r>
            <w:r w:rsidRPr="00745744">
              <w:rPr>
                <w:rFonts w:ascii="Arial" w:hAnsi="Arial" w:cs="Arial"/>
                <w:b/>
                <w:bCs/>
                <w:sz w:val="18"/>
                <w:szCs w:val="18"/>
              </w:rPr>
              <w:instrText>PAGE</w:instrText>
            </w:r>
            <w:r w:rsidRPr="00745744">
              <w:rPr>
                <w:rFonts w:ascii="Arial" w:hAnsi="Arial" w:cs="Arial"/>
                <w:b/>
                <w:bCs/>
                <w:sz w:val="18"/>
                <w:szCs w:val="18"/>
              </w:rPr>
              <w:fldChar w:fldCharType="separate"/>
            </w:r>
            <w:r w:rsidR="000C1D70">
              <w:rPr>
                <w:rFonts w:ascii="Arial" w:hAnsi="Arial" w:cs="Arial"/>
                <w:b/>
                <w:bCs/>
                <w:noProof/>
                <w:sz w:val="18"/>
                <w:szCs w:val="18"/>
              </w:rPr>
              <w:t>8</w:t>
            </w:r>
            <w:r w:rsidRPr="00745744">
              <w:rPr>
                <w:rFonts w:ascii="Arial" w:hAnsi="Arial" w:cs="Arial"/>
                <w:b/>
                <w:bCs/>
                <w:sz w:val="18"/>
                <w:szCs w:val="18"/>
              </w:rPr>
              <w:fldChar w:fldCharType="end"/>
            </w:r>
            <w:r w:rsidRPr="00745744">
              <w:rPr>
                <w:rFonts w:ascii="Arial" w:hAnsi="Arial" w:cs="Arial"/>
                <w:sz w:val="18"/>
                <w:szCs w:val="18"/>
              </w:rPr>
              <w:t xml:space="preserve"> sur </w:t>
            </w:r>
            <w:r w:rsidRPr="00745744">
              <w:rPr>
                <w:rFonts w:ascii="Arial" w:hAnsi="Arial" w:cs="Arial"/>
                <w:b/>
                <w:bCs/>
                <w:sz w:val="18"/>
                <w:szCs w:val="18"/>
              </w:rPr>
              <w:fldChar w:fldCharType="begin"/>
            </w:r>
            <w:r w:rsidRPr="00745744">
              <w:rPr>
                <w:rFonts w:ascii="Arial" w:hAnsi="Arial" w:cs="Arial"/>
                <w:b/>
                <w:bCs/>
                <w:sz w:val="18"/>
                <w:szCs w:val="18"/>
              </w:rPr>
              <w:instrText>NUMPAGES</w:instrText>
            </w:r>
            <w:r w:rsidRPr="00745744">
              <w:rPr>
                <w:rFonts w:ascii="Arial" w:hAnsi="Arial" w:cs="Arial"/>
                <w:b/>
                <w:bCs/>
                <w:sz w:val="18"/>
                <w:szCs w:val="18"/>
              </w:rPr>
              <w:fldChar w:fldCharType="separate"/>
            </w:r>
            <w:r w:rsidR="000C1D70">
              <w:rPr>
                <w:rFonts w:ascii="Arial" w:hAnsi="Arial" w:cs="Arial"/>
                <w:b/>
                <w:bCs/>
                <w:noProof/>
                <w:sz w:val="18"/>
                <w:szCs w:val="18"/>
              </w:rPr>
              <w:t>12</w:t>
            </w:r>
            <w:r w:rsidRPr="00745744">
              <w:rPr>
                <w:rFonts w:ascii="Arial" w:hAnsi="Arial" w:cs="Arial"/>
                <w:b/>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E03" w:rsidRDefault="00D47E03" w:rsidP="00C43FA4">
      <w:pPr>
        <w:spacing w:after="0" w:line="240" w:lineRule="auto"/>
      </w:pPr>
      <w:r>
        <w:separator/>
      </w:r>
    </w:p>
  </w:footnote>
  <w:footnote w:type="continuationSeparator" w:id="0">
    <w:p w:rsidR="00D47E03" w:rsidRDefault="00D47E03" w:rsidP="00C43F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E03" w:rsidRDefault="000C1D70">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21242" o:spid="_x0000_s8194"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E03" w:rsidRDefault="000C1D70">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21243" o:spid="_x0000_s8195" type="#_x0000_t136" style="position:absolute;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E03" w:rsidRDefault="000C1D70">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21241" o:spid="_x0000_s8193"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E03" w:rsidRDefault="000C1D70">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21245" o:spid="_x0000_s8197" type="#_x0000_t136" style="position:absolute;margin-left:0;margin-top:0;width:426.35pt;height:213.15pt;rotation:315;z-index:-251649024;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E03" w:rsidRPr="00745744" w:rsidRDefault="000C1D70" w:rsidP="00745744">
    <w:pPr>
      <w:pStyle w:val="Pieddepage"/>
      <w:jc w:val="center"/>
      <w:rPr>
        <w:rFonts w:ascii="Arial" w:hAnsi="Arial" w:cs="Arial"/>
        <w:sz w:val="18"/>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21246" o:spid="_x0000_s8198" type="#_x0000_t136" style="position:absolute;left:0;text-align:left;margin-left:0;margin-top:0;width:426.35pt;height:213.15pt;rotation:315;z-index:-25164697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sidR="00D47E03" w:rsidRPr="00745744">
      <w:rPr>
        <w:rFonts w:ascii="Arial" w:hAnsi="Arial" w:cs="Arial"/>
        <w:sz w:val="18"/>
        <w:szCs w:val="18"/>
      </w:rPr>
      <w:t>IRVE – Conditions administratives, techniques et financières d’exercice de la compétence</w:t>
    </w:r>
  </w:p>
  <w:p w:rsidR="00D47E03" w:rsidRDefault="00D47E03">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E03" w:rsidRDefault="000C1D70">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21244" o:spid="_x0000_s8196" type="#_x0000_t136" style="position:absolute;margin-left:0;margin-top:0;width:426.35pt;height:213.15pt;rotation:315;z-index:-251651072;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900D73"/>
    <w:multiLevelType w:val="hybridMultilevel"/>
    <w:tmpl w:val="FF88B718"/>
    <w:lvl w:ilvl="0" w:tplc="1C0654E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56A0EBA"/>
    <w:multiLevelType w:val="hybridMultilevel"/>
    <w:tmpl w:val="3D323282"/>
    <w:lvl w:ilvl="0" w:tplc="E8D6148A">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8D95062"/>
    <w:multiLevelType w:val="hybridMultilevel"/>
    <w:tmpl w:val="E5848D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6EF31BC"/>
    <w:multiLevelType w:val="hybridMultilevel"/>
    <w:tmpl w:val="6060BC46"/>
    <w:lvl w:ilvl="0" w:tplc="040C0001">
      <w:start w:val="1"/>
      <w:numFmt w:val="bullet"/>
      <w:lvlText w:val=""/>
      <w:lvlJc w:val="left"/>
      <w:pPr>
        <w:ind w:left="937" w:hanging="360"/>
      </w:pPr>
      <w:rPr>
        <w:rFonts w:ascii="Symbol" w:hAnsi="Symbol" w:hint="default"/>
      </w:rPr>
    </w:lvl>
    <w:lvl w:ilvl="1" w:tplc="040C0003" w:tentative="1">
      <w:start w:val="1"/>
      <w:numFmt w:val="bullet"/>
      <w:lvlText w:val="o"/>
      <w:lvlJc w:val="left"/>
      <w:pPr>
        <w:ind w:left="1657" w:hanging="360"/>
      </w:pPr>
      <w:rPr>
        <w:rFonts w:ascii="Courier New" w:hAnsi="Courier New" w:cs="Courier New" w:hint="default"/>
      </w:rPr>
    </w:lvl>
    <w:lvl w:ilvl="2" w:tplc="040C0005" w:tentative="1">
      <w:start w:val="1"/>
      <w:numFmt w:val="bullet"/>
      <w:lvlText w:val=""/>
      <w:lvlJc w:val="left"/>
      <w:pPr>
        <w:ind w:left="2377" w:hanging="360"/>
      </w:pPr>
      <w:rPr>
        <w:rFonts w:ascii="Wingdings" w:hAnsi="Wingdings" w:hint="default"/>
      </w:rPr>
    </w:lvl>
    <w:lvl w:ilvl="3" w:tplc="040C0001" w:tentative="1">
      <w:start w:val="1"/>
      <w:numFmt w:val="bullet"/>
      <w:lvlText w:val=""/>
      <w:lvlJc w:val="left"/>
      <w:pPr>
        <w:ind w:left="3097" w:hanging="360"/>
      </w:pPr>
      <w:rPr>
        <w:rFonts w:ascii="Symbol" w:hAnsi="Symbol" w:hint="default"/>
      </w:rPr>
    </w:lvl>
    <w:lvl w:ilvl="4" w:tplc="040C0003" w:tentative="1">
      <w:start w:val="1"/>
      <w:numFmt w:val="bullet"/>
      <w:lvlText w:val="o"/>
      <w:lvlJc w:val="left"/>
      <w:pPr>
        <w:ind w:left="3817" w:hanging="360"/>
      </w:pPr>
      <w:rPr>
        <w:rFonts w:ascii="Courier New" w:hAnsi="Courier New" w:cs="Courier New" w:hint="default"/>
      </w:rPr>
    </w:lvl>
    <w:lvl w:ilvl="5" w:tplc="040C0005" w:tentative="1">
      <w:start w:val="1"/>
      <w:numFmt w:val="bullet"/>
      <w:lvlText w:val=""/>
      <w:lvlJc w:val="left"/>
      <w:pPr>
        <w:ind w:left="4537" w:hanging="360"/>
      </w:pPr>
      <w:rPr>
        <w:rFonts w:ascii="Wingdings" w:hAnsi="Wingdings" w:hint="default"/>
      </w:rPr>
    </w:lvl>
    <w:lvl w:ilvl="6" w:tplc="040C0001" w:tentative="1">
      <w:start w:val="1"/>
      <w:numFmt w:val="bullet"/>
      <w:lvlText w:val=""/>
      <w:lvlJc w:val="left"/>
      <w:pPr>
        <w:ind w:left="5257" w:hanging="360"/>
      </w:pPr>
      <w:rPr>
        <w:rFonts w:ascii="Symbol" w:hAnsi="Symbol" w:hint="default"/>
      </w:rPr>
    </w:lvl>
    <w:lvl w:ilvl="7" w:tplc="040C0003" w:tentative="1">
      <w:start w:val="1"/>
      <w:numFmt w:val="bullet"/>
      <w:lvlText w:val="o"/>
      <w:lvlJc w:val="left"/>
      <w:pPr>
        <w:ind w:left="5977" w:hanging="360"/>
      </w:pPr>
      <w:rPr>
        <w:rFonts w:ascii="Courier New" w:hAnsi="Courier New" w:cs="Courier New" w:hint="default"/>
      </w:rPr>
    </w:lvl>
    <w:lvl w:ilvl="8" w:tplc="040C0005" w:tentative="1">
      <w:start w:val="1"/>
      <w:numFmt w:val="bullet"/>
      <w:lvlText w:val=""/>
      <w:lvlJc w:val="left"/>
      <w:pPr>
        <w:ind w:left="6697" w:hanging="360"/>
      </w:pPr>
      <w:rPr>
        <w:rFonts w:ascii="Wingdings" w:hAnsi="Wingdings" w:hint="default"/>
      </w:rPr>
    </w:lvl>
  </w:abstractNum>
  <w:abstractNum w:abstractNumId="4">
    <w:nsid w:val="7EA67A8D"/>
    <w:multiLevelType w:val="hybridMultilevel"/>
    <w:tmpl w:val="8C229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9"/>
    <o:shapelayout v:ext="edit">
      <o:idmap v:ext="edit" data="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FA4"/>
    <w:rsid w:val="00022DDE"/>
    <w:rsid w:val="00073896"/>
    <w:rsid w:val="00082FB6"/>
    <w:rsid w:val="00084749"/>
    <w:rsid w:val="000A3E21"/>
    <w:rsid w:val="000A7F52"/>
    <w:rsid w:val="000C1D70"/>
    <w:rsid w:val="000E7149"/>
    <w:rsid w:val="00153CD9"/>
    <w:rsid w:val="001B513F"/>
    <w:rsid w:val="001D46A3"/>
    <w:rsid w:val="002000E6"/>
    <w:rsid w:val="00282A9D"/>
    <w:rsid w:val="00291713"/>
    <w:rsid w:val="002A4387"/>
    <w:rsid w:val="003414C7"/>
    <w:rsid w:val="00355693"/>
    <w:rsid w:val="00385FFD"/>
    <w:rsid w:val="003C325C"/>
    <w:rsid w:val="003E2789"/>
    <w:rsid w:val="003E6296"/>
    <w:rsid w:val="0040704F"/>
    <w:rsid w:val="004F66C5"/>
    <w:rsid w:val="00560630"/>
    <w:rsid w:val="005951CE"/>
    <w:rsid w:val="006670E1"/>
    <w:rsid w:val="006F438F"/>
    <w:rsid w:val="0071308A"/>
    <w:rsid w:val="007377C8"/>
    <w:rsid w:val="00745744"/>
    <w:rsid w:val="007565F0"/>
    <w:rsid w:val="00777209"/>
    <w:rsid w:val="007B40BE"/>
    <w:rsid w:val="0082533E"/>
    <w:rsid w:val="008901AF"/>
    <w:rsid w:val="00891816"/>
    <w:rsid w:val="008A24AA"/>
    <w:rsid w:val="009439FF"/>
    <w:rsid w:val="009570DE"/>
    <w:rsid w:val="009C7C64"/>
    <w:rsid w:val="009E4E79"/>
    <w:rsid w:val="009F2D22"/>
    <w:rsid w:val="00A1318E"/>
    <w:rsid w:val="00A33C57"/>
    <w:rsid w:val="00A60AD6"/>
    <w:rsid w:val="00AC28DD"/>
    <w:rsid w:val="00AC4886"/>
    <w:rsid w:val="00B0015F"/>
    <w:rsid w:val="00B24F2A"/>
    <w:rsid w:val="00B55302"/>
    <w:rsid w:val="00B7020C"/>
    <w:rsid w:val="00C22103"/>
    <w:rsid w:val="00C43FA4"/>
    <w:rsid w:val="00C927AE"/>
    <w:rsid w:val="00CA1A1F"/>
    <w:rsid w:val="00CF17CC"/>
    <w:rsid w:val="00D44232"/>
    <w:rsid w:val="00D47E03"/>
    <w:rsid w:val="00D74C2C"/>
    <w:rsid w:val="00D863F0"/>
    <w:rsid w:val="00D86E66"/>
    <w:rsid w:val="00D938FC"/>
    <w:rsid w:val="00DA41EB"/>
    <w:rsid w:val="00DD1EDD"/>
    <w:rsid w:val="00DE0D5B"/>
    <w:rsid w:val="00DE45CF"/>
    <w:rsid w:val="00E37838"/>
    <w:rsid w:val="00E402C2"/>
    <w:rsid w:val="00F03C34"/>
    <w:rsid w:val="00F23438"/>
    <w:rsid w:val="00F6785B"/>
    <w:rsid w:val="00F73C17"/>
    <w:rsid w:val="00F924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847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8474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43FA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43FA4"/>
    <w:rPr>
      <w:rFonts w:ascii="Tahoma" w:hAnsi="Tahoma" w:cs="Tahoma"/>
      <w:sz w:val="16"/>
      <w:szCs w:val="16"/>
    </w:rPr>
  </w:style>
  <w:style w:type="paragraph" w:styleId="En-tte">
    <w:name w:val="header"/>
    <w:basedOn w:val="Normal"/>
    <w:link w:val="En-tteCar"/>
    <w:uiPriority w:val="99"/>
    <w:unhideWhenUsed/>
    <w:rsid w:val="00C43FA4"/>
    <w:pPr>
      <w:tabs>
        <w:tab w:val="center" w:pos="4536"/>
        <w:tab w:val="right" w:pos="9072"/>
      </w:tabs>
      <w:spacing w:after="0" w:line="240" w:lineRule="auto"/>
    </w:pPr>
  </w:style>
  <w:style w:type="character" w:customStyle="1" w:styleId="En-tteCar">
    <w:name w:val="En-tête Car"/>
    <w:basedOn w:val="Policepardfaut"/>
    <w:link w:val="En-tte"/>
    <w:uiPriority w:val="99"/>
    <w:rsid w:val="00C43FA4"/>
  </w:style>
  <w:style w:type="paragraph" w:styleId="Pieddepage">
    <w:name w:val="footer"/>
    <w:basedOn w:val="Normal"/>
    <w:link w:val="PieddepageCar"/>
    <w:uiPriority w:val="99"/>
    <w:unhideWhenUsed/>
    <w:rsid w:val="00C43FA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3FA4"/>
  </w:style>
  <w:style w:type="paragraph" w:styleId="Paragraphedeliste">
    <w:name w:val="List Paragraph"/>
    <w:basedOn w:val="Normal"/>
    <w:uiPriority w:val="34"/>
    <w:qFormat/>
    <w:rsid w:val="00E37838"/>
    <w:pPr>
      <w:ind w:left="720"/>
      <w:contextualSpacing/>
    </w:pPr>
  </w:style>
  <w:style w:type="paragraph" w:customStyle="1" w:styleId="ReglementChapitre">
    <w:name w:val="Reglement_Chapitre"/>
    <w:basedOn w:val="Normal"/>
    <w:qFormat/>
    <w:rsid w:val="009570DE"/>
    <w:pPr>
      <w:pBdr>
        <w:bottom w:val="single" w:sz="4" w:space="1" w:color="00A479"/>
      </w:pBdr>
      <w:spacing w:after="120" w:line="240" w:lineRule="auto"/>
    </w:pPr>
    <w:rPr>
      <w:rFonts w:ascii="Arial" w:hAnsi="Arial" w:cs="Arial"/>
      <w:b/>
      <w:caps/>
      <w:color w:val="00A479"/>
      <w:sz w:val="24"/>
    </w:rPr>
  </w:style>
  <w:style w:type="paragraph" w:customStyle="1" w:styleId="Reglementtitre">
    <w:name w:val="Reglement_titre"/>
    <w:basedOn w:val="Normal"/>
    <w:qFormat/>
    <w:rsid w:val="00D74C2C"/>
    <w:pPr>
      <w:autoSpaceDE w:val="0"/>
      <w:autoSpaceDN w:val="0"/>
      <w:adjustRightInd w:val="0"/>
      <w:spacing w:after="0" w:line="240" w:lineRule="auto"/>
    </w:pPr>
    <w:rPr>
      <w:rFonts w:ascii="Arial" w:hAnsi="Arial" w:cs="Arial"/>
      <w:b/>
      <w:bCs/>
      <w:caps/>
    </w:rPr>
  </w:style>
  <w:style w:type="character" w:customStyle="1" w:styleId="Titre1Car">
    <w:name w:val="Titre 1 Car"/>
    <w:basedOn w:val="Policepardfaut"/>
    <w:link w:val="Titre1"/>
    <w:uiPriority w:val="9"/>
    <w:rsid w:val="00084749"/>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084749"/>
    <w:rPr>
      <w:rFonts w:asciiTheme="majorHAnsi" w:eastAsiaTheme="majorEastAsia" w:hAnsiTheme="majorHAnsi" w:cstheme="majorBidi"/>
      <w:b/>
      <w:bCs/>
      <w:color w:val="4F81BD" w:themeColor="accent1"/>
      <w:sz w:val="26"/>
      <w:szCs w:val="26"/>
    </w:rPr>
  </w:style>
  <w:style w:type="paragraph" w:styleId="TM1">
    <w:name w:val="toc 1"/>
    <w:basedOn w:val="Normal"/>
    <w:next w:val="Normal"/>
    <w:autoRedefine/>
    <w:uiPriority w:val="39"/>
    <w:unhideWhenUsed/>
    <w:rsid w:val="00084749"/>
    <w:pPr>
      <w:spacing w:before="120" w:after="120"/>
    </w:pPr>
    <w:rPr>
      <w:b/>
      <w:bCs/>
      <w:caps/>
      <w:sz w:val="20"/>
      <w:szCs w:val="20"/>
    </w:rPr>
  </w:style>
  <w:style w:type="paragraph" w:styleId="TM2">
    <w:name w:val="toc 2"/>
    <w:basedOn w:val="Normal"/>
    <w:next w:val="Normal"/>
    <w:autoRedefine/>
    <w:uiPriority w:val="39"/>
    <w:unhideWhenUsed/>
    <w:rsid w:val="00084749"/>
    <w:pPr>
      <w:spacing w:after="0"/>
      <w:ind w:left="220"/>
    </w:pPr>
    <w:rPr>
      <w:smallCaps/>
      <w:sz w:val="20"/>
      <w:szCs w:val="20"/>
    </w:rPr>
  </w:style>
  <w:style w:type="paragraph" w:styleId="TM3">
    <w:name w:val="toc 3"/>
    <w:basedOn w:val="Normal"/>
    <w:next w:val="Normal"/>
    <w:autoRedefine/>
    <w:uiPriority w:val="39"/>
    <w:unhideWhenUsed/>
    <w:rsid w:val="00084749"/>
    <w:pPr>
      <w:spacing w:after="0"/>
      <w:ind w:left="440"/>
    </w:pPr>
    <w:rPr>
      <w:i/>
      <w:iCs/>
      <w:sz w:val="20"/>
      <w:szCs w:val="20"/>
    </w:rPr>
  </w:style>
  <w:style w:type="paragraph" w:styleId="TM4">
    <w:name w:val="toc 4"/>
    <w:basedOn w:val="Normal"/>
    <w:next w:val="Normal"/>
    <w:autoRedefine/>
    <w:uiPriority w:val="39"/>
    <w:unhideWhenUsed/>
    <w:rsid w:val="00084749"/>
    <w:pPr>
      <w:spacing w:after="0"/>
      <w:ind w:left="660"/>
    </w:pPr>
    <w:rPr>
      <w:sz w:val="18"/>
      <w:szCs w:val="18"/>
    </w:rPr>
  </w:style>
  <w:style w:type="paragraph" w:styleId="TM5">
    <w:name w:val="toc 5"/>
    <w:basedOn w:val="Normal"/>
    <w:next w:val="Normal"/>
    <w:autoRedefine/>
    <w:uiPriority w:val="39"/>
    <w:unhideWhenUsed/>
    <w:rsid w:val="00084749"/>
    <w:pPr>
      <w:spacing w:after="0"/>
      <w:ind w:left="880"/>
    </w:pPr>
    <w:rPr>
      <w:sz w:val="18"/>
      <w:szCs w:val="18"/>
    </w:rPr>
  </w:style>
  <w:style w:type="paragraph" w:styleId="TM6">
    <w:name w:val="toc 6"/>
    <w:basedOn w:val="Normal"/>
    <w:next w:val="Normal"/>
    <w:autoRedefine/>
    <w:uiPriority w:val="39"/>
    <w:unhideWhenUsed/>
    <w:rsid w:val="00084749"/>
    <w:pPr>
      <w:spacing w:after="0"/>
      <w:ind w:left="1100"/>
    </w:pPr>
    <w:rPr>
      <w:sz w:val="18"/>
      <w:szCs w:val="18"/>
    </w:rPr>
  </w:style>
  <w:style w:type="paragraph" w:styleId="TM7">
    <w:name w:val="toc 7"/>
    <w:basedOn w:val="Normal"/>
    <w:next w:val="Normal"/>
    <w:autoRedefine/>
    <w:uiPriority w:val="39"/>
    <w:unhideWhenUsed/>
    <w:rsid w:val="00084749"/>
    <w:pPr>
      <w:spacing w:after="0"/>
      <w:ind w:left="1320"/>
    </w:pPr>
    <w:rPr>
      <w:sz w:val="18"/>
      <w:szCs w:val="18"/>
    </w:rPr>
  </w:style>
  <w:style w:type="paragraph" w:styleId="TM8">
    <w:name w:val="toc 8"/>
    <w:basedOn w:val="Normal"/>
    <w:next w:val="Normal"/>
    <w:autoRedefine/>
    <w:uiPriority w:val="39"/>
    <w:unhideWhenUsed/>
    <w:rsid w:val="00084749"/>
    <w:pPr>
      <w:spacing w:after="0"/>
      <w:ind w:left="1540"/>
    </w:pPr>
    <w:rPr>
      <w:sz w:val="18"/>
      <w:szCs w:val="18"/>
    </w:rPr>
  </w:style>
  <w:style w:type="paragraph" w:styleId="TM9">
    <w:name w:val="toc 9"/>
    <w:basedOn w:val="Normal"/>
    <w:next w:val="Normal"/>
    <w:autoRedefine/>
    <w:uiPriority w:val="39"/>
    <w:unhideWhenUsed/>
    <w:rsid w:val="00084749"/>
    <w:pPr>
      <w:spacing w:after="0"/>
      <w:ind w:left="1760"/>
    </w:pPr>
    <w:rPr>
      <w:sz w:val="18"/>
      <w:szCs w:val="18"/>
    </w:rPr>
  </w:style>
  <w:style w:type="character" w:styleId="Lienhypertexte">
    <w:name w:val="Hyperlink"/>
    <w:basedOn w:val="Policepardfaut"/>
    <w:uiPriority w:val="99"/>
    <w:unhideWhenUsed/>
    <w:rsid w:val="00084749"/>
    <w:rPr>
      <w:color w:val="0000FF" w:themeColor="hyperlink"/>
      <w:u w:val="single"/>
    </w:rPr>
  </w:style>
  <w:style w:type="table" w:styleId="Grilledutableau">
    <w:name w:val="Table Grid"/>
    <w:basedOn w:val="TableauNormal"/>
    <w:uiPriority w:val="59"/>
    <w:rsid w:val="00C221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847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8474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43FA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43FA4"/>
    <w:rPr>
      <w:rFonts w:ascii="Tahoma" w:hAnsi="Tahoma" w:cs="Tahoma"/>
      <w:sz w:val="16"/>
      <w:szCs w:val="16"/>
    </w:rPr>
  </w:style>
  <w:style w:type="paragraph" w:styleId="En-tte">
    <w:name w:val="header"/>
    <w:basedOn w:val="Normal"/>
    <w:link w:val="En-tteCar"/>
    <w:uiPriority w:val="99"/>
    <w:unhideWhenUsed/>
    <w:rsid w:val="00C43FA4"/>
    <w:pPr>
      <w:tabs>
        <w:tab w:val="center" w:pos="4536"/>
        <w:tab w:val="right" w:pos="9072"/>
      </w:tabs>
      <w:spacing w:after="0" w:line="240" w:lineRule="auto"/>
    </w:pPr>
  </w:style>
  <w:style w:type="character" w:customStyle="1" w:styleId="En-tteCar">
    <w:name w:val="En-tête Car"/>
    <w:basedOn w:val="Policepardfaut"/>
    <w:link w:val="En-tte"/>
    <w:uiPriority w:val="99"/>
    <w:rsid w:val="00C43FA4"/>
  </w:style>
  <w:style w:type="paragraph" w:styleId="Pieddepage">
    <w:name w:val="footer"/>
    <w:basedOn w:val="Normal"/>
    <w:link w:val="PieddepageCar"/>
    <w:uiPriority w:val="99"/>
    <w:unhideWhenUsed/>
    <w:rsid w:val="00C43FA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3FA4"/>
  </w:style>
  <w:style w:type="paragraph" w:styleId="Paragraphedeliste">
    <w:name w:val="List Paragraph"/>
    <w:basedOn w:val="Normal"/>
    <w:uiPriority w:val="34"/>
    <w:qFormat/>
    <w:rsid w:val="00E37838"/>
    <w:pPr>
      <w:ind w:left="720"/>
      <w:contextualSpacing/>
    </w:pPr>
  </w:style>
  <w:style w:type="paragraph" w:customStyle="1" w:styleId="ReglementChapitre">
    <w:name w:val="Reglement_Chapitre"/>
    <w:basedOn w:val="Normal"/>
    <w:qFormat/>
    <w:rsid w:val="009570DE"/>
    <w:pPr>
      <w:pBdr>
        <w:bottom w:val="single" w:sz="4" w:space="1" w:color="00A479"/>
      </w:pBdr>
      <w:spacing w:after="120" w:line="240" w:lineRule="auto"/>
    </w:pPr>
    <w:rPr>
      <w:rFonts w:ascii="Arial" w:hAnsi="Arial" w:cs="Arial"/>
      <w:b/>
      <w:caps/>
      <w:color w:val="00A479"/>
      <w:sz w:val="24"/>
    </w:rPr>
  </w:style>
  <w:style w:type="paragraph" w:customStyle="1" w:styleId="Reglementtitre">
    <w:name w:val="Reglement_titre"/>
    <w:basedOn w:val="Normal"/>
    <w:qFormat/>
    <w:rsid w:val="00D74C2C"/>
    <w:pPr>
      <w:autoSpaceDE w:val="0"/>
      <w:autoSpaceDN w:val="0"/>
      <w:adjustRightInd w:val="0"/>
      <w:spacing w:after="0" w:line="240" w:lineRule="auto"/>
    </w:pPr>
    <w:rPr>
      <w:rFonts w:ascii="Arial" w:hAnsi="Arial" w:cs="Arial"/>
      <w:b/>
      <w:bCs/>
      <w:caps/>
    </w:rPr>
  </w:style>
  <w:style w:type="character" w:customStyle="1" w:styleId="Titre1Car">
    <w:name w:val="Titre 1 Car"/>
    <w:basedOn w:val="Policepardfaut"/>
    <w:link w:val="Titre1"/>
    <w:uiPriority w:val="9"/>
    <w:rsid w:val="00084749"/>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084749"/>
    <w:rPr>
      <w:rFonts w:asciiTheme="majorHAnsi" w:eastAsiaTheme="majorEastAsia" w:hAnsiTheme="majorHAnsi" w:cstheme="majorBidi"/>
      <w:b/>
      <w:bCs/>
      <w:color w:val="4F81BD" w:themeColor="accent1"/>
      <w:sz w:val="26"/>
      <w:szCs w:val="26"/>
    </w:rPr>
  </w:style>
  <w:style w:type="paragraph" w:styleId="TM1">
    <w:name w:val="toc 1"/>
    <w:basedOn w:val="Normal"/>
    <w:next w:val="Normal"/>
    <w:autoRedefine/>
    <w:uiPriority w:val="39"/>
    <w:unhideWhenUsed/>
    <w:rsid w:val="00084749"/>
    <w:pPr>
      <w:spacing w:before="120" w:after="120"/>
    </w:pPr>
    <w:rPr>
      <w:b/>
      <w:bCs/>
      <w:caps/>
      <w:sz w:val="20"/>
      <w:szCs w:val="20"/>
    </w:rPr>
  </w:style>
  <w:style w:type="paragraph" w:styleId="TM2">
    <w:name w:val="toc 2"/>
    <w:basedOn w:val="Normal"/>
    <w:next w:val="Normal"/>
    <w:autoRedefine/>
    <w:uiPriority w:val="39"/>
    <w:unhideWhenUsed/>
    <w:rsid w:val="00084749"/>
    <w:pPr>
      <w:spacing w:after="0"/>
      <w:ind w:left="220"/>
    </w:pPr>
    <w:rPr>
      <w:smallCaps/>
      <w:sz w:val="20"/>
      <w:szCs w:val="20"/>
    </w:rPr>
  </w:style>
  <w:style w:type="paragraph" w:styleId="TM3">
    <w:name w:val="toc 3"/>
    <w:basedOn w:val="Normal"/>
    <w:next w:val="Normal"/>
    <w:autoRedefine/>
    <w:uiPriority w:val="39"/>
    <w:unhideWhenUsed/>
    <w:rsid w:val="00084749"/>
    <w:pPr>
      <w:spacing w:after="0"/>
      <w:ind w:left="440"/>
    </w:pPr>
    <w:rPr>
      <w:i/>
      <w:iCs/>
      <w:sz w:val="20"/>
      <w:szCs w:val="20"/>
    </w:rPr>
  </w:style>
  <w:style w:type="paragraph" w:styleId="TM4">
    <w:name w:val="toc 4"/>
    <w:basedOn w:val="Normal"/>
    <w:next w:val="Normal"/>
    <w:autoRedefine/>
    <w:uiPriority w:val="39"/>
    <w:unhideWhenUsed/>
    <w:rsid w:val="00084749"/>
    <w:pPr>
      <w:spacing w:after="0"/>
      <w:ind w:left="660"/>
    </w:pPr>
    <w:rPr>
      <w:sz w:val="18"/>
      <w:szCs w:val="18"/>
    </w:rPr>
  </w:style>
  <w:style w:type="paragraph" w:styleId="TM5">
    <w:name w:val="toc 5"/>
    <w:basedOn w:val="Normal"/>
    <w:next w:val="Normal"/>
    <w:autoRedefine/>
    <w:uiPriority w:val="39"/>
    <w:unhideWhenUsed/>
    <w:rsid w:val="00084749"/>
    <w:pPr>
      <w:spacing w:after="0"/>
      <w:ind w:left="880"/>
    </w:pPr>
    <w:rPr>
      <w:sz w:val="18"/>
      <w:szCs w:val="18"/>
    </w:rPr>
  </w:style>
  <w:style w:type="paragraph" w:styleId="TM6">
    <w:name w:val="toc 6"/>
    <w:basedOn w:val="Normal"/>
    <w:next w:val="Normal"/>
    <w:autoRedefine/>
    <w:uiPriority w:val="39"/>
    <w:unhideWhenUsed/>
    <w:rsid w:val="00084749"/>
    <w:pPr>
      <w:spacing w:after="0"/>
      <w:ind w:left="1100"/>
    </w:pPr>
    <w:rPr>
      <w:sz w:val="18"/>
      <w:szCs w:val="18"/>
    </w:rPr>
  </w:style>
  <w:style w:type="paragraph" w:styleId="TM7">
    <w:name w:val="toc 7"/>
    <w:basedOn w:val="Normal"/>
    <w:next w:val="Normal"/>
    <w:autoRedefine/>
    <w:uiPriority w:val="39"/>
    <w:unhideWhenUsed/>
    <w:rsid w:val="00084749"/>
    <w:pPr>
      <w:spacing w:after="0"/>
      <w:ind w:left="1320"/>
    </w:pPr>
    <w:rPr>
      <w:sz w:val="18"/>
      <w:szCs w:val="18"/>
    </w:rPr>
  </w:style>
  <w:style w:type="paragraph" w:styleId="TM8">
    <w:name w:val="toc 8"/>
    <w:basedOn w:val="Normal"/>
    <w:next w:val="Normal"/>
    <w:autoRedefine/>
    <w:uiPriority w:val="39"/>
    <w:unhideWhenUsed/>
    <w:rsid w:val="00084749"/>
    <w:pPr>
      <w:spacing w:after="0"/>
      <w:ind w:left="1540"/>
    </w:pPr>
    <w:rPr>
      <w:sz w:val="18"/>
      <w:szCs w:val="18"/>
    </w:rPr>
  </w:style>
  <w:style w:type="paragraph" w:styleId="TM9">
    <w:name w:val="toc 9"/>
    <w:basedOn w:val="Normal"/>
    <w:next w:val="Normal"/>
    <w:autoRedefine/>
    <w:uiPriority w:val="39"/>
    <w:unhideWhenUsed/>
    <w:rsid w:val="00084749"/>
    <w:pPr>
      <w:spacing w:after="0"/>
      <w:ind w:left="1760"/>
    </w:pPr>
    <w:rPr>
      <w:sz w:val="18"/>
      <w:szCs w:val="18"/>
    </w:rPr>
  </w:style>
  <w:style w:type="character" w:styleId="Lienhypertexte">
    <w:name w:val="Hyperlink"/>
    <w:basedOn w:val="Policepardfaut"/>
    <w:uiPriority w:val="99"/>
    <w:unhideWhenUsed/>
    <w:rsid w:val="00084749"/>
    <w:rPr>
      <w:color w:val="0000FF" w:themeColor="hyperlink"/>
      <w:u w:val="single"/>
    </w:rPr>
  </w:style>
  <w:style w:type="table" w:styleId="Grilledutableau">
    <w:name w:val="Table Grid"/>
    <w:basedOn w:val="TableauNormal"/>
    <w:uiPriority w:val="59"/>
    <w:rsid w:val="00C221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3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2" Type="http://schemas.openxmlformats.org/officeDocument/2006/relationships/hyperlink" Target="http://www.sde07.com/" TargetMode="External"/><Relationship Id="rId1" Type="http://schemas.openxmlformats.org/officeDocument/2006/relationships/hyperlink" Target="mailto:sde07@sde07.com%2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7D2DB-D874-4ECD-98AA-EB6DF3783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12</Pages>
  <Words>3498</Words>
  <Characters>19243</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VIGNE Benoit</dc:creator>
  <cp:lastModifiedBy>CHANDELLIER Isabelle</cp:lastModifiedBy>
  <cp:revision>11</cp:revision>
  <cp:lastPrinted>2015-10-21T12:40:00Z</cp:lastPrinted>
  <dcterms:created xsi:type="dcterms:W3CDTF">2015-10-20T14:41:00Z</dcterms:created>
  <dcterms:modified xsi:type="dcterms:W3CDTF">2015-11-03T16:29:00Z</dcterms:modified>
</cp:coreProperties>
</file>