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29F" w:rsidRDefault="002634E3" w:rsidP="002634E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Privas, le 18 février 2016</w:t>
      </w:r>
    </w:p>
    <w:p w:rsidR="002634E3" w:rsidRDefault="002634E3" w:rsidP="002634E3">
      <w:pPr>
        <w:jc w:val="both"/>
      </w:pPr>
    </w:p>
    <w:p w:rsidR="002634E3" w:rsidRDefault="002634E3" w:rsidP="002634E3">
      <w:pPr>
        <w:spacing w:after="0"/>
        <w:jc w:val="both"/>
      </w:pPr>
    </w:p>
    <w:p w:rsidR="002634E3" w:rsidRDefault="002634E3" w:rsidP="002634E3">
      <w:pPr>
        <w:spacing w:after="0"/>
        <w:jc w:val="both"/>
      </w:pPr>
    </w:p>
    <w:p w:rsidR="002634E3" w:rsidRDefault="002634E3" w:rsidP="002634E3">
      <w:pPr>
        <w:spacing w:after="0"/>
        <w:jc w:val="both"/>
      </w:pPr>
    </w:p>
    <w:p w:rsidR="002634E3" w:rsidRDefault="002634E3" w:rsidP="002634E3">
      <w:pPr>
        <w:spacing w:after="0"/>
        <w:jc w:val="both"/>
      </w:pPr>
    </w:p>
    <w:p w:rsidR="002634E3" w:rsidRDefault="002634E3" w:rsidP="0026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</w:pPr>
    </w:p>
    <w:p w:rsidR="002634E3" w:rsidRPr="002634E3" w:rsidRDefault="002634E3" w:rsidP="0026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8"/>
          <w:szCs w:val="28"/>
          <w:u w:val="single"/>
        </w:rPr>
      </w:pPr>
      <w:r w:rsidRPr="002634E3">
        <w:rPr>
          <w:b/>
          <w:sz w:val="28"/>
          <w:szCs w:val="28"/>
          <w:u w:val="single"/>
        </w:rPr>
        <w:t>NOTE DE PRESENTATION SYNTHETIQUE</w:t>
      </w:r>
    </w:p>
    <w:p w:rsidR="002634E3" w:rsidRPr="002634E3" w:rsidRDefault="002634E3" w:rsidP="0026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8"/>
          <w:szCs w:val="28"/>
        </w:rPr>
      </w:pPr>
      <w:r w:rsidRPr="002634E3">
        <w:rPr>
          <w:b/>
          <w:sz w:val="28"/>
          <w:szCs w:val="28"/>
        </w:rPr>
        <w:t>INFORMATIONS FINANCIERES ESSENTIELLES</w:t>
      </w:r>
    </w:p>
    <w:p w:rsidR="002634E3" w:rsidRPr="002634E3" w:rsidRDefault="002634E3" w:rsidP="002634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center"/>
        <w:rPr>
          <w:b/>
          <w:sz w:val="28"/>
          <w:szCs w:val="28"/>
        </w:rPr>
      </w:pPr>
      <w:r w:rsidRPr="002634E3">
        <w:rPr>
          <w:b/>
          <w:sz w:val="28"/>
          <w:szCs w:val="28"/>
        </w:rPr>
        <w:t>CA 2015 ET BP 2016</w:t>
      </w:r>
    </w:p>
    <w:p w:rsidR="002634E3" w:rsidRDefault="002634E3" w:rsidP="002634E3">
      <w:pPr>
        <w:spacing w:after="0"/>
        <w:jc w:val="both"/>
      </w:pPr>
    </w:p>
    <w:p w:rsidR="002634E3" w:rsidRDefault="002634E3" w:rsidP="002634E3">
      <w:pPr>
        <w:spacing w:after="0"/>
        <w:jc w:val="both"/>
      </w:pPr>
    </w:p>
    <w:p w:rsidR="002634E3" w:rsidRDefault="002634E3" w:rsidP="002634E3">
      <w:pPr>
        <w:spacing w:after="0"/>
        <w:jc w:val="both"/>
      </w:pPr>
    </w:p>
    <w:p w:rsidR="002634E3" w:rsidRDefault="002634E3" w:rsidP="002634E3">
      <w:pPr>
        <w:spacing w:after="0"/>
        <w:jc w:val="both"/>
      </w:pPr>
      <w:r w:rsidRPr="00856CEF">
        <w:rPr>
          <w:b/>
        </w:rPr>
        <w:t>Petit rappel pour mémoire</w:t>
      </w:r>
      <w:r>
        <w:t> : Le SDE 07 a changé sa politique en terme</w:t>
      </w:r>
      <w:r w:rsidR="00856CEF">
        <w:t>s</w:t>
      </w:r>
      <w:r>
        <w:t xml:space="preserve"> d’affectation de son résultat.</w:t>
      </w:r>
    </w:p>
    <w:p w:rsidR="00856CEF" w:rsidRDefault="002634E3" w:rsidP="002634E3">
      <w:pPr>
        <w:spacing w:after="0"/>
        <w:jc w:val="both"/>
      </w:pPr>
      <w:r>
        <w:t xml:space="preserve">BP 2015 : la totalité de l’excédent de fonctionnement a donc été affectée à la section d’investissement, d’une part pour résorber le déficit de la section et d’autre part afin d’effectuer l’ensemble des travaux </w:t>
      </w:r>
      <w:r w:rsidR="00856CEF">
        <w:t>demandés par les communes en terme d’électrification rurale, éclairage public, télécommunications et faire face à la prise éventuelle de nouvelles compétences par le syndicat.</w:t>
      </w:r>
    </w:p>
    <w:p w:rsidR="00856CEF" w:rsidRDefault="00856CEF" w:rsidP="002634E3">
      <w:pPr>
        <w:spacing w:after="0"/>
        <w:jc w:val="both"/>
      </w:pPr>
      <w:r>
        <w:t>Les dépenses de fonctionnement étant stables, il n’y a pas lieu de conserver l’excédent au sein de la section.</w:t>
      </w:r>
    </w:p>
    <w:p w:rsidR="00856CEF" w:rsidRDefault="00856CEF" w:rsidP="002634E3">
      <w:pPr>
        <w:spacing w:after="0"/>
        <w:jc w:val="both"/>
      </w:pPr>
    </w:p>
    <w:p w:rsidR="00856CEF" w:rsidRDefault="00856CEF" w:rsidP="002634E3">
      <w:pPr>
        <w:spacing w:after="0"/>
        <w:jc w:val="both"/>
      </w:pPr>
      <w:r>
        <w:t xml:space="preserve">S’agissant du </w:t>
      </w:r>
      <w:r w:rsidRPr="00856CEF">
        <w:rPr>
          <w:b/>
        </w:rPr>
        <w:t>Compte Administratif 2015</w:t>
      </w:r>
      <w:r w:rsidRPr="00856CEF">
        <w:t>, ce qu’il faut retenir essentiellement :</w:t>
      </w:r>
    </w:p>
    <w:p w:rsidR="00856CEF" w:rsidRDefault="00856CEF" w:rsidP="00856CEF">
      <w:pPr>
        <w:pStyle w:val="Paragraphedeliste"/>
        <w:numPr>
          <w:ilvl w:val="0"/>
          <w:numId w:val="1"/>
        </w:numPr>
        <w:spacing w:after="0"/>
        <w:jc w:val="both"/>
        <w:rPr>
          <w:b/>
        </w:rPr>
      </w:pPr>
      <w:r>
        <w:rPr>
          <w:b/>
        </w:rPr>
        <w:t>La hausse sensible des dépenses de fonctionnement est liée à :</w:t>
      </w:r>
    </w:p>
    <w:p w:rsidR="00856CEF" w:rsidRPr="00856CEF" w:rsidRDefault="00856CEF" w:rsidP="00856CEF">
      <w:pPr>
        <w:pStyle w:val="Paragraphedeliste"/>
        <w:numPr>
          <w:ilvl w:val="1"/>
          <w:numId w:val="1"/>
        </w:numPr>
        <w:spacing w:after="0"/>
        <w:jc w:val="both"/>
      </w:pPr>
      <w:r w:rsidRPr="00856CEF">
        <w:t>+33% de frais de maintenance de l’éclairage public</w:t>
      </w:r>
    </w:p>
    <w:p w:rsidR="00856CEF" w:rsidRDefault="00856CEF" w:rsidP="00856CEF">
      <w:pPr>
        <w:pStyle w:val="Paragraphedeliste"/>
        <w:numPr>
          <w:ilvl w:val="1"/>
          <w:numId w:val="1"/>
        </w:numPr>
        <w:spacing w:after="0"/>
        <w:jc w:val="both"/>
      </w:pPr>
      <w:r w:rsidRPr="00856CEF">
        <w:t>Administration Générale : mise en place de contrats de maintenance pour l’informatique, les nouveaux logiciels métiers acquis, et l’entretien des extérieurs</w:t>
      </w:r>
    </w:p>
    <w:p w:rsidR="00856CEF" w:rsidRDefault="00856CEF" w:rsidP="00856CEF">
      <w:pPr>
        <w:pStyle w:val="Paragraphedeliste"/>
        <w:numPr>
          <w:ilvl w:val="1"/>
          <w:numId w:val="1"/>
        </w:numPr>
        <w:spacing w:after="0"/>
        <w:jc w:val="both"/>
      </w:pPr>
      <w:r>
        <w:t>Acquisition de toutes les fournitures de stockage pour le local « Archives »</w:t>
      </w:r>
    </w:p>
    <w:p w:rsidR="00856CEF" w:rsidRDefault="00856CEF" w:rsidP="00856CEF">
      <w:pPr>
        <w:pStyle w:val="Paragraphedeliste"/>
        <w:numPr>
          <w:ilvl w:val="1"/>
          <w:numId w:val="1"/>
        </w:numPr>
        <w:spacing w:after="0"/>
        <w:jc w:val="both"/>
      </w:pPr>
      <w:r>
        <w:t>Evolution de la masse salariale : + 9,7% : l’évolution des compétences du syndicat entraîne le recrutement de 8 personnes dont 3 départs à la retraite remplacés, 2 emplois contractuels pour des missions d’une année, 2 emplois avenir pour assumer le secrétariat des services techniques</w:t>
      </w:r>
      <w:r w:rsidR="00722D39">
        <w:t xml:space="preserve"> et 2 techniciens, l’un pour mettre en place le schéma départemental de bornes de recharge pour véhicules électriques et l’autre sur des missions d’accompagnement de conseil en économie d’énergie.</w:t>
      </w:r>
    </w:p>
    <w:p w:rsidR="00722D39" w:rsidRDefault="00722D39" w:rsidP="00722D39">
      <w:pPr>
        <w:pStyle w:val="Paragraphedeliste"/>
        <w:numPr>
          <w:ilvl w:val="0"/>
          <w:numId w:val="1"/>
        </w:numPr>
        <w:spacing w:after="0"/>
        <w:jc w:val="both"/>
      </w:pPr>
      <w:r w:rsidRPr="00722D39">
        <w:rPr>
          <w:b/>
        </w:rPr>
        <w:t>La baisse des ressources du syndicat</w:t>
      </w:r>
      <w:r>
        <w:t> :</w:t>
      </w:r>
    </w:p>
    <w:p w:rsidR="00722D39" w:rsidRDefault="00722D39" w:rsidP="00722D39">
      <w:pPr>
        <w:pStyle w:val="Paragraphedeliste"/>
        <w:numPr>
          <w:ilvl w:val="1"/>
          <w:numId w:val="1"/>
        </w:numPr>
        <w:spacing w:after="0"/>
        <w:jc w:val="both"/>
      </w:pPr>
      <w:r>
        <w:t>Poursuite de la diminution de la Taxe Communale sur la Consommation Finale d’Electricité due aux conditions climatiques, à la conjoncture économique et aux économies d’énergie réalisées</w:t>
      </w:r>
    </w:p>
    <w:p w:rsidR="00830E45" w:rsidRDefault="00830E45" w:rsidP="00830E45">
      <w:pPr>
        <w:pStyle w:val="Paragraphedeliste"/>
        <w:numPr>
          <w:ilvl w:val="1"/>
          <w:numId w:val="1"/>
        </w:numPr>
        <w:spacing w:after="0"/>
        <w:jc w:val="both"/>
      </w:pPr>
      <w:r>
        <w:t>Décroissance des redevances calculées sur les travaux réalisés n-2 mais atténuée par le protocole signé entre la FNCCR et ERDF</w:t>
      </w:r>
    </w:p>
    <w:p w:rsidR="00830E45" w:rsidRDefault="00830E45" w:rsidP="00830E45">
      <w:pPr>
        <w:pStyle w:val="Paragraphedeliste"/>
        <w:numPr>
          <w:ilvl w:val="0"/>
          <w:numId w:val="2"/>
        </w:numPr>
        <w:spacing w:after="0"/>
        <w:jc w:val="both"/>
      </w:pPr>
      <w:r w:rsidRPr="00830E45">
        <w:rPr>
          <w:b/>
        </w:rPr>
        <w:t>Augmentation des dépenses d’investissement pour 2 raisons</w:t>
      </w:r>
      <w:r>
        <w:t> :</w:t>
      </w:r>
    </w:p>
    <w:p w:rsidR="00830E45" w:rsidRDefault="00830E45" w:rsidP="00830E45">
      <w:pPr>
        <w:pStyle w:val="Paragraphedeliste"/>
        <w:numPr>
          <w:ilvl w:val="1"/>
          <w:numId w:val="2"/>
        </w:numPr>
        <w:spacing w:after="0"/>
        <w:jc w:val="both"/>
      </w:pPr>
      <w:r>
        <w:t>Résorption du déficit constaté en totalité</w:t>
      </w:r>
    </w:p>
    <w:p w:rsidR="00830E45" w:rsidRDefault="00830E45" w:rsidP="00830E45">
      <w:pPr>
        <w:pStyle w:val="Paragraphedeliste"/>
        <w:numPr>
          <w:ilvl w:val="1"/>
          <w:numId w:val="2"/>
        </w:numPr>
        <w:spacing w:after="0"/>
        <w:jc w:val="both"/>
      </w:pPr>
      <w:r>
        <w:t xml:space="preserve">+19,30% de travaux réalisés </w:t>
      </w:r>
    </w:p>
    <w:p w:rsidR="00830E45" w:rsidRDefault="00E25AC2" w:rsidP="00830E45">
      <w:pPr>
        <w:pStyle w:val="Paragraphedeliste"/>
        <w:numPr>
          <w:ilvl w:val="1"/>
          <w:numId w:val="2"/>
        </w:numPr>
        <w:spacing w:after="0"/>
        <w:jc w:val="both"/>
      </w:pPr>
      <w:r>
        <w:lastRenderedPageBreak/>
        <w:t>Refonte du système informatique</w:t>
      </w:r>
    </w:p>
    <w:p w:rsidR="00E25AC2" w:rsidRDefault="00E25AC2" w:rsidP="00830E45">
      <w:pPr>
        <w:pStyle w:val="Paragraphedeliste"/>
        <w:numPr>
          <w:ilvl w:val="1"/>
          <w:numId w:val="2"/>
        </w:numPr>
        <w:spacing w:after="0"/>
        <w:jc w:val="both"/>
      </w:pPr>
      <w:r>
        <w:t xml:space="preserve">Aménagement d’un local à archives </w:t>
      </w:r>
    </w:p>
    <w:p w:rsidR="00E25AC2" w:rsidRDefault="00E25AC2" w:rsidP="00830E45">
      <w:pPr>
        <w:pStyle w:val="Paragraphedeliste"/>
        <w:numPr>
          <w:ilvl w:val="1"/>
          <w:numId w:val="2"/>
        </w:numPr>
        <w:spacing w:after="0"/>
        <w:jc w:val="both"/>
      </w:pPr>
      <w:r>
        <w:t>Mobilier pour les nouveaux collaborateurs</w:t>
      </w:r>
    </w:p>
    <w:p w:rsidR="00E25AC2" w:rsidRDefault="00E25AC2" w:rsidP="00E25AC2">
      <w:pPr>
        <w:pStyle w:val="Paragraphedeliste"/>
        <w:numPr>
          <w:ilvl w:val="0"/>
          <w:numId w:val="2"/>
        </w:numPr>
        <w:spacing w:after="0"/>
        <w:jc w:val="both"/>
        <w:rPr>
          <w:b/>
        </w:rPr>
      </w:pPr>
      <w:r w:rsidRPr="00E25AC2">
        <w:rPr>
          <w:b/>
        </w:rPr>
        <w:t>Stabilité des recettes d’investissement</w:t>
      </w:r>
      <w:r>
        <w:rPr>
          <w:b/>
        </w:rPr>
        <w:t> :</w:t>
      </w:r>
    </w:p>
    <w:p w:rsidR="00E25AC2" w:rsidRPr="00E25AC2" w:rsidRDefault="00E25AC2" w:rsidP="00E25AC2">
      <w:pPr>
        <w:pStyle w:val="Paragraphedeliste"/>
        <w:numPr>
          <w:ilvl w:val="1"/>
          <w:numId w:val="2"/>
        </w:numPr>
        <w:spacing w:after="0"/>
        <w:jc w:val="both"/>
        <w:rPr>
          <w:b/>
        </w:rPr>
      </w:pPr>
      <w:r>
        <w:t>Recouvrement plus régulier des subventions et participations communales</w:t>
      </w:r>
    </w:p>
    <w:p w:rsidR="00E25AC2" w:rsidRDefault="00E25AC2" w:rsidP="00E25AC2">
      <w:pPr>
        <w:spacing w:after="0"/>
        <w:jc w:val="both"/>
        <w:rPr>
          <w:b/>
        </w:rPr>
      </w:pPr>
    </w:p>
    <w:p w:rsidR="00E25AC2" w:rsidRDefault="00E25AC2" w:rsidP="00E25AC2">
      <w:pPr>
        <w:spacing w:after="0"/>
        <w:jc w:val="both"/>
        <w:rPr>
          <w:b/>
        </w:rPr>
      </w:pPr>
      <w:r w:rsidRPr="00E25AC2">
        <w:rPr>
          <w:b/>
          <w:u w:val="single"/>
        </w:rPr>
        <w:t>En conclusion</w:t>
      </w:r>
      <w:r>
        <w:rPr>
          <w:b/>
        </w:rPr>
        <w:t> : Les résultats de clôture de l’exercice 2015 sont excédentaires au sein des 2 sections et seront affectés aux nouvelles compétences du SDE, à savoir : Participation à la SEM Energie Rhonevallée, Eclairage Public, Chaufferies Bois, Maîtrise des Energies.</w:t>
      </w:r>
    </w:p>
    <w:p w:rsidR="00E25AC2" w:rsidRDefault="00E25AC2" w:rsidP="00E25AC2">
      <w:pPr>
        <w:spacing w:after="0"/>
        <w:jc w:val="both"/>
        <w:rPr>
          <w:b/>
        </w:rPr>
      </w:pPr>
    </w:p>
    <w:p w:rsidR="00E25AC2" w:rsidRDefault="00E25AC2" w:rsidP="00E25AC2">
      <w:pPr>
        <w:spacing w:after="0"/>
        <w:jc w:val="both"/>
      </w:pPr>
      <w:r>
        <w:rPr>
          <w:b/>
        </w:rPr>
        <w:t>Concernant le Budget Primitif 2016</w:t>
      </w:r>
      <w:r w:rsidRPr="00E25AC2">
        <w:t>, les faits marquants à souligner</w:t>
      </w:r>
      <w:r>
        <w:rPr>
          <w:b/>
        </w:rPr>
        <w:t> </w:t>
      </w:r>
      <w:r w:rsidRPr="00E25AC2">
        <w:t>:</w:t>
      </w:r>
    </w:p>
    <w:p w:rsidR="00C442E0" w:rsidRDefault="00836600" w:rsidP="00C442E0">
      <w:pPr>
        <w:pStyle w:val="Paragraphedeliste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Légère augmentation des charges de fonctionnement + 3.2% :</w:t>
      </w:r>
    </w:p>
    <w:p w:rsidR="00836600" w:rsidRPr="00836600" w:rsidRDefault="00836600" w:rsidP="00836600">
      <w:pPr>
        <w:pStyle w:val="Paragraphedeliste"/>
        <w:numPr>
          <w:ilvl w:val="1"/>
          <w:numId w:val="3"/>
        </w:numPr>
        <w:spacing w:after="0"/>
        <w:jc w:val="both"/>
        <w:rPr>
          <w:b/>
        </w:rPr>
      </w:pPr>
      <w:r>
        <w:t>Inflation de 1 à 2% sur carburants, affranchissement, péages, énergies…</w:t>
      </w:r>
    </w:p>
    <w:p w:rsidR="00836600" w:rsidRPr="00836600" w:rsidRDefault="00836600" w:rsidP="00836600">
      <w:pPr>
        <w:pStyle w:val="Paragraphedeliste"/>
        <w:numPr>
          <w:ilvl w:val="1"/>
          <w:numId w:val="3"/>
        </w:numPr>
        <w:spacing w:after="0"/>
        <w:jc w:val="both"/>
        <w:rPr>
          <w:b/>
        </w:rPr>
      </w:pPr>
      <w:r>
        <w:t xml:space="preserve">Nouvelles prestations pour adapter nos modes de gestion : Dialège et Prosper (outils de gestion sur analyse des coûts d’énergie et diagnostics énergétiques), </w:t>
      </w:r>
      <w:r w:rsidR="00972222">
        <w:t>crédit-bail</w:t>
      </w:r>
      <w:r>
        <w:t xml:space="preserve"> sur informatique et véhicule électrique, MAPA assistance juridique, maintenances associées sur les nouveaux logiciels de gestion, frais de publicité importants sur les marchés à venir, mise en place d’une communication plus lisible et visible (plaquette, fiches pratiques, participations évènementielles</w:t>
      </w:r>
    </w:p>
    <w:p w:rsidR="00836600" w:rsidRPr="00836600" w:rsidRDefault="00836600" w:rsidP="00836600">
      <w:pPr>
        <w:pStyle w:val="Paragraphedeliste"/>
        <w:numPr>
          <w:ilvl w:val="1"/>
          <w:numId w:val="3"/>
        </w:numPr>
        <w:spacing w:after="0"/>
        <w:jc w:val="both"/>
        <w:rPr>
          <w:b/>
        </w:rPr>
      </w:pPr>
      <w:r>
        <w:t>En matière de personnel : effectif constant, mise à plat du régime indemnitaire, GPEC, prise en compte de la revalorisation du point d’indice, remplacements éventuels</w:t>
      </w:r>
    </w:p>
    <w:p w:rsidR="00836600" w:rsidRDefault="00836600" w:rsidP="00836600">
      <w:pPr>
        <w:pStyle w:val="Paragraphedeliste"/>
        <w:numPr>
          <w:ilvl w:val="0"/>
          <w:numId w:val="3"/>
        </w:numPr>
        <w:spacing w:after="0"/>
        <w:jc w:val="both"/>
        <w:rPr>
          <w:b/>
        </w:rPr>
      </w:pPr>
      <w:r>
        <w:rPr>
          <w:b/>
        </w:rPr>
        <w:t>Baisse des recettes structurelles identiques à 2015 mais augmentation des participations communales :</w:t>
      </w:r>
    </w:p>
    <w:p w:rsidR="00836600" w:rsidRDefault="00836600" w:rsidP="00836600">
      <w:pPr>
        <w:pStyle w:val="Paragraphedeliste"/>
        <w:numPr>
          <w:ilvl w:val="1"/>
          <w:numId w:val="3"/>
        </w:numPr>
        <w:spacing w:after="0"/>
        <w:jc w:val="both"/>
      </w:pPr>
      <w:r w:rsidRPr="00836600">
        <w:t>Les communes ardéchoises adh</w:t>
      </w:r>
      <w:r w:rsidR="000E7DBE">
        <w:t>è</w:t>
      </w:r>
      <w:r w:rsidRPr="00836600">
        <w:t>rent</w:t>
      </w:r>
      <w:r w:rsidR="000E7DBE">
        <w:t xml:space="preserve"> </w:t>
      </w:r>
      <w:r w:rsidRPr="00836600">
        <w:t xml:space="preserve"> en nombre significatif à la compétence MDE</w:t>
      </w:r>
    </w:p>
    <w:p w:rsidR="000E7DBE" w:rsidRPr="000E7DBE" w:rsidRDefault="000E7DBE" w:rsidP="000E7DBE">
      <w:pPr>
        <w:pStyle w:val="Paragraphedeliste"/>
        <w:numPr>
          <w:ilvl w:val="0"/>
          <w:numId w:val="3"/>
        </w:numPr>
        <w:spacing w:after="0"/>
        <w:jc w:val="both"/>
        <w:rPr>
          <w:b/>
        </w:rPr>
      </w:pPr>
      <w:r w:rsidRPr="000E7DBE">
        <w:rPr>
          <w:b/>
        </w:rPr>
        <w:t>Le SDE favorise les investissements sur le territoire ardéchois et contribue pleinement à l’équilibre économique du Département :</w:t>
      </w:r>
    </w:p>
    <w:p w:rsidR="000E7DBE" w:rsidRDefault="000E7DBE" w:rsidP="000E7DBE">
      <w:pPr>
        <w:pStyle w:val="Paragraphedeliste"/>
        <w:numPr>
          <w:ilvl w:val="1"/>
          <w:numId w:val="3"/>
        </w:numPr>
        <w:spacing w:after="0"/>
        <w:jc w:val="both"/>
      </w:pPr>
      <w:r>
        <w:t>Niveau d’investissement maintenu en matière d’électrification rurale à hauteur de 14M€</w:t>
      </w:r>
    </w:p>
    <w:p w:rsidR="000E7DBE" w:rsidRDefault="000E7DBE" w:rsidP="000E7DBE">
      <w:pPr>
        <w:pStyle w:val="Paragraphedeliste"/>
        <w:numPr>
          <w:ilvl w:val="1"/>
          <w:numId w:val="3"/>
        </w:numPr>
        <w:spacing w:after="0"/>
        <w:jc w:val="both"/>
      </w:pPr>
      <w:r>
        <w:t>5,2M€ consacrés à la compétence Eclairage Public (travaux neufs et maintenance)</w:t>
      </w:r>
    </w:p>
    <w:p w:rsidR="000E7DBE" w:rsidRDefault="000E7DBE" w:rsidP="000E7DBE">
      <w:pPr>
        <w:pStyle w:val="Paragraphedeliste"/>
        <w:numPr>
          <w:ilvl w:val="1"/>
          <w:numId w:val="3"/>
        </w:numPr>
        <w:spacing w:after="0"/>
        <w:jc w:val="both"/>
      </w:pPr>
      <w:r>
        <w:t>Déploiement des bornes de recharge électrique sur le département : 1M€</w:t>
      </w:r>
    </w:p>
    <w:p w:rsidR="000E7DBE" w:rsidRDefault="000E7DBE" w:rsidP="000E7DBE">
      <w:pPr>
        <w:pStyle w:val="Paragraphedeliste"/>
        <w:numPr>
          <w:ilvl w:val="1"/>
          <w:numId w:val="3"/>
        </w:numPr>
        <w:spacing w:after="0"/>
        <w:jc w:val="both"/>
      </w:pPr>
      <w:r>
        <w:t>Entrée au capital de la SEM Energie Rhonevallée : 1,1M€</w:t>
      </w:r>
    </w:p>
    <w:p w:rsidR="002928F3" w:rsidRDefault="002928F3" w:rsidP="002928F3">
      <w:pPr>
        <w:pStyle w:val="Paragraphedeliste"/>
        <w:numPr>
          <w:ilvl w:val="0"/>
          <w:numId w:val="5"/>
        </w:numPr>
        <w:spacing w:after="0"/>
        <w:jc w:val="both"/>
      </w:pPr>
      <w:r w:rsidRPr="002928F3">
        <w:rPr>
          <w:b/>
        </w:rPr>
        <w:t>Les subventions restent stables</w:t>
      </w:r>
      <w:r>
        <w:t>.</w:t>
      </w:r>
    </w:p>
    <w:p w:rsidR="00B20BDC" w:rsidRDefault="00B20BDC" w:rsidP="00B20BDC">
      <w:pPr>
        <w:pStyle w:val="Paragraphedeliste"/>
        <w:spacing w:after="0"/>
        <w:ind w:left="1440"/>
        <w:jc w:val="both"/>
      </w:pPr>
    </w:p>
    <w:p w:rsidR="000E7DBE" w:rsidRPr="00B20BDC" w:rsidRDefault="000E7DBE" w:rsidP="000E7DBE">
      <w:pPr>
        <w:pStyle w:val="Paragraphedeliste"/>
        <w:numPr>
          <w:ilvl w:val="0"/>
          <w:numId w:val="3"/>
        </w:numPr>
        <w:spacing w:after="0"/>
        <w:jc w:val="both"/>
        <w:rPr>
          <w:b/>
        </w:rPr>
      </w:pPr>
      <w:r w:rsidRPr="000E7DBE">
        <w:rPr>
          <w:b/>
        </w:rPr>
        <w:t>A noter les opérations d’ordre patrimonial</w:t>
      </w:r>
      <w:r>
        <w:rPr>
          <w:b/>
        </w:rPr>
        <w:t> : affichage budgétaire de la dette contractée par les communes à l’égard du syndicat</w:t>
      </w:r>
      <w:r w:rsidR="00B20BDC">
        <w:rPr>
          <w:b/>
        </w:rPr>
        <w:t xml:space="preserve"> </w:t>
      </w:r>
      <w:r w:rsidR="00B20BDC" w:rsidRPr="00B20BDC">
        <w:t>au cours des années antérieures en étalant leurs participations aux travaux d’Electrification Rurale sur 10 ans dès lors que le montant de leur participation s’élève à plus de 2 500€</w:t>
      </w:r>
      <w:r w:rsidR="00B20BDC">
        <w:t xml:space="preserve">, soit </w:t>
      </w:r>
      <w:r w:rsidR="00B20BDC" w:rsidRPr="00B20BDC">
        <w:rPr>
          <w:b/>
        </w:rPr>
        <w:t>9,7M€</w:t>
      </w:r>
    </w:p>
    <w:p w:rsidR="00856CEF" w:rsidRDefault="00B20BDC" w:rsidP="00B20BDC">
      <w:pPr>
        <w:spacing w:after="0"/>
        <w:ind w:left="708"/>
        <w:jc w:val="both"/>
      </w:pPr>
      <w:r>
        <w:t>En contrepartie, l’extinction annuelle de la dette par les communes vient s’inscrire au chapitre 27.</w:t>
      </w:r>
    </w:p>
    <w:p w:rsidR="00146777" w:rsidRDefault="00146777" w:rsidP="002928F3">
      <w:pPr>
        <w:spacing w:after="0"/>
        <w:jc w:val="both"/>
      </w:pPr>
    </w:p>
    <w:p w:rsidR="002928F3" w:rsidRPr="00856CEF" w:rsidRDefault="002928F3" w:rsidP="002928F3">
      <w:pPr>
        <w:spacing w:after="0"/>
        <w:jc w:val="both"/>
      </w:pPr>
      <w:bookmarkStart w:id="0" w:name="_GoBack"/>
      <w:bookmarkEnd w:id="0"/>
    </w:p>
    <w:sectPr w:rsidR="002928F3" w:rsidRPr="00856C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172D"/>
    <w:multiLevelType w:val="hybridMultilevel"/>
    <w:tmpl w:val="BECC334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40D61"/>
    <w:multiLevelType w:val="hybridMultilevel"/>
    <w:tmpl w:val="D22693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952F09"/>
    <w:multiLevelType w:val="hybridMultilevel"/>
    <w:tmpl w:val="46D8287E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771A70"/>
    <w:multiLevelType w:val="hybridMultilevel"/>
    <w:tmpl w:val="9C90D83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5400FE"/>
    <w:multiLevelType w:val="hybridMultilevel"/>
    <w:tmpl w:val="478417E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4E3"/>
    <w:rsid w:val="000E7DBE"/>
    <w:rsid w:val="00146777"/>
    <w:rsid w:val="001D529F"/>
    <w:rsid w:val="002634E3"/>
    <w:rsid w:val="002928F3"/>
    <w:rsid w:val="00722D39"/>
    <w:rsid w:val="00830E45"/>
    <w:rsid w:val="00836600"/>
    <w:rsid w:val="00856CEF"/>
    <w:rsid w:val="00972222"/>
    <w:rsid w:val="00B20BDC"/>
    <w:rsid w:val="00C442E0"/>
    <w:rsid w:val="00E2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6C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56C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696</Words>
  <Characters>3832</Characters>
  <Application>Microsoft Office Word</Application>
  <DocSecurity>0</DocSecurity>
  <Lines>31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Magnus_adm</dc:creator>
  <cp:lastModifiedBy>Magnus_adm</cp:lastModifiedBy>
  <cp:revision>2</cp:revision>
  <dcterms:created xsi:type="dcterms:W3CDTF">2016-02-18T10:12:00Z</dcterms:created>
  <dcterms:modified xsi:type="dcterms:W3CDTF">2016-02-18T10:12:00Z</dcterms:modified>
</cp:coreProperties>
</file>