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99CBA" w14:textId="03D912A4" w:rsidR="00F8308A" w:rsidRDefault="000B77F0" w:rsidP="00B21B44">
      <w:pPr>
        <w:spacing w:after="0"/>
        <w:jc w:val="right"/>
        <w:rPr>
          <w:rFonts w:ascii="Calibri" w:hAnsi="Calibri" w:cs="Arial"/>
          <w:b/>
          <w:bCs/>
          <w:sz w:val="28"/>
          <w:szCs w:val="28"/>
        </w:rPr>
      </w:pPr>
      <w:r w:rsidRPr="001F687B">
        <w:rPr>
          <w:rFonts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63360" behindDoc="0" locked="0" layoutInCell="1" allowOverlap="1" wp14:anchorId="39ACE1C3" wp14:editId="4D44142E">
            <wp:simplePos x="0" y="0"/>
            <wp:positionH relativeFrom="column">
              <wp:posOffset>38100</wp:posOffset>
            </wp:positionH>
            <wp:positionV relativeFrom="paragraph">
              <wp:posOffset>-409575</wp:posOffset>
            </wp:positionV>
            <wp:extent cx="2572783" cy="75247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783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A1C14" w14:textId="47C7070C" w:rsidR="00B21B44" w:rsidRPr="009728F3" w:rsidRDefault="00B21B44" w:rsidP="00B21B44">
      <w:pPr>
        <w:spacing w:after="0"/>
        <w:jc w:val="right"/>
        <w:rPr>
          <w:rFonts w:ascii="Calibri" w:hAnsi="Calibri" w:cs="Arial"/>
          <w:b/>
          <w:bCs/>
          <w:sz w:val="28"/>
          <w:szCs w:val="28"/>
        </w:rPr>
      </w:pPr>
      <w:r w:rsidRPr="009728F3">
        <w:rPr>
          <w:rFonts w:ascii="Calibri" w:hAnsi="Calibri" w:cs="Arial"/>
          <w:b/>
          <w:bCs/>
          <w:sz w:val="28"/>
          <w:szCs w:val="28"/>
        </w:rPr>
        <w:t>COMITÉ SYNDICAL</w:t>
      </w:r>
    </w:p>
    <w:p w14:paraId="1B93FDFD" w14:textId="77777777" w:rsidR="00B21B44" w:rsidRPr="009728F3" w:rsidRDefault="00B21B44" w:rsidP="00B21B44">
      <w:pPr>
        <w:spacing w:after="0"/>
        <w:jc w:val="right"/>
        <w:rPr>
          <w:rFonts w:ascii="Calibri" w:hAnsi="Calibri" w:cs="Arial"/>
          <w:b/>
          <w:bCs/>
          <w:sz w:val="28"/>
          <w:szCs w:val="28"/>
        </w:rPr>
      </w:pPr>
      <w:r w:rsidRPr="009728F3">
        <w:rPr>
          <w:rFonts w:ascii="Calibri" w:hAnsi="Calibri" w:cs="Arial"/>
          <w:b/>
          <w:bCs/>
          <w:sz w:val="28"/>
          <w:szCs w:val="28"/>
        </w:rPr>
        <w:t>FINANCES</w:t>
      </w:r>
    </w:p>
    <w:p w14:paraId="17839AC5" w14:textId="15F8FE2D" w:rsidR="00B21B44" w:rsidRPr="009728F3" w:rsidRDefault="00B21B44" w:rsidP="00B21B44">
      <w:pPr>
        <w:spacing w:after="0"/>
        <w:jc w:val="right"/>
        <w:rPr>
          <w:rFonts w:ascii="Calibri" w:hAnsi="Calibri" w:cs="Arial"/>
          <w:b/>
          <w:bCs/>
        </w:rPr>
      </w:pPr>
      <w:r w:rsidRPr="009728F3">
        <w:rPr>
          <w:rFonts w:ascii="Calibri" w:hAnsi="Calibri" w:cs="Arial"/>
          <w:b/>
          <w:bCs/>
        </w:rPr>
        <w:t>Délibération n°</w:t>
      </w:r>
      <w:r w:rsidR="0047558E">
        <w:rPr>
          <w:rFonts w:ascii="Calibri" w:hAnsi="Calibri" w:cs="Arial"/>
          <w:b/>
          <w:bCs/>
        </w:rPr>
        <w:t>1</w:t>
      </w:r>
    </w:p>
    <w:p w14:paraId="2ED53276" w14:textId="77777777" w:rsidR="00B21B44" w:rsidRPr="00FB08A4" w:rsidRDefault="00B21B44" w:rsidP="00B21B44">
      <w:pPr>
        <w:spacing w:after="0"/>
        <w:rPr>
          <w:rFonts w:ascii="Calibri" w:hAnsi="Calibri" w:cs="Arial"/>
          <w:b/>
          <w:bCs/>
          <w:sz w:val="10"/>
          <w:szCs w:val="10"/>
        </w:rPr>
      </w:pPr>
    </w:p>
    <w:p w14:paraId="43FDA9DD" w14:textId="483BDB4C" w:rsidR="00B21B44" w:rsidRPr="00FB08A4" w:rsidRDefault="00B21B44" w:rsidP="00B21B44">
      <w:pPr>
        <w:keepNext/>
        <w:shd w:val="clear" w:color="auto" w:fill="D9D9D9"/>
        <w:spacing w:after="0"/>
        <w:jc w:val="center"/>
        <w:outlineLvl w:val="3"/>
        <w:rPr>
          <w:rFonts w:ascii="Calibri" w:hAnsi="Calibri" w:cs="Times New Roman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SEANCE DU </w:t>
      </w:r>
      <w:r w:rsidR="00390AC7">
        <w:rPr>
          <w:rFonts w:ascii="Calibri" w:hAnsi="Calibri"/>
          <w:b/>
          <w:bCs/>
          <w:sz w:val="28"/>
          <w:szCs w:val="28"/>
        </w:rPr>
        <w:t>10</w:t>
      </w:r>
      <w:r>
        <w:rPr>
          <w:rFonts w:ascii="Calibri" w:hAnsi="Calibri"/>
          <w:b/>
          <w:bCs/>
          <w:sz w:val="28"/>
          <w:szCs w:val="28"/>
        </w:rPr>
        <w:t xml:space="preserve"> MARS 202</w:t>
      </w:r>
      <w:r w:rsidR="00390AC7">
        <w:rPr>
          <w:rFonts w:ascii="Calibri" w:hAnsi="Calibri"/>
          <w:b/>
          <w:bCs/>
          <w:sz w:val="28"/>
          <w:szCs w:val="28"/>
        </w:rPr>
        <w:t>5</w:t>
      </w:r>
    </w:p>
    <w:p w14:paraId="756A6AAF" w14:textId="77777777" w:rsidR="00B21B44" w:rsidRPr="00FB08A4" w:rsidRDefault="00B21B44" w:rsidP="00B21B44">
      <w:pPr>
        <w:spacing w:after="0"/>
        <w:jc w:val="both"/>
        <w:rPr>
          <w:rFonts w:ascii="Calibri" w:hAnsi="Calibri"/>
        </w:rPr>
      </w:pPr>
    </w:p>
    <w:p w14:paraId="0E8BAEE4" w14:textId="445B5E14" w:rsidR="00B21B44" w:rsidRDefault="00B21B44" w:rsidP="00B21B44">
      <w:pPr>
        <w:spacing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L’an 202</w:t>
      </w:r>
      <w:r w:rsidR="00390AC7">
        <w:rPr>
          <w:rFonts w:cstheme="minorHAnsi"/>
          <w:color w:val="000000" w:themeColor="text1"/>
        </w:rPr>
        <w:t>5</w:t>
      </w:r>
      <w:r>
        <w:rPr>
          <w:rFonts w:cstheme="minorHAnsi"/>
          <w:color w:val="000000" w:themeColor="text1"/>
        </w:rPr>
        <w:t xml:space="preserve">, le </w:t>
      </w:r>
      <w:r w:rsidR="00390AC7">
        <w:rPr>
          <w:rFonts w:cstheme="minorHAnsi"/>
          <w:color w:val="000000" w:themeColor="text1"/>
        </w:rPr>
        <w:t>10</w:t>
      </w:r>
      <w:r>
        <w:rPr>
          <w:rFonts w:cstheme="minorHAnsi"/>
          <w:color w:val="000000" w:themeColor="text1"/>
        </w:rPr>
        <w:t xml:space="preserve"> mars à </w:t>
      </w:r>
      <w:r w:rsidR="0047558E">
        <w:rPr>
          <w:rFonts w:cstheme="minorHAnsi"/>
          <w:color w:val="000000" w:themeColor="text1"/>
        </w:rPr>
        <w:t>10H0</w:t>
      </w:r>
      <w:r>
        <w:rPr>
          <w:rFonts w:cstheme="minorHAnsi"/>
          <w:color w:val="000000" w:themeColor="text1"/>
        </w:rPr>
        <w:t>0, s’est réuni au siège d</w:t>
      </w:r>
      <w:r w:rsidR="000B77F0">
        <w:rPr>
          <w:rFonts w:cstheme="minorHAnsi"/>
          <w:color w:val="000000" w:themeColor="text1"/>
        </w:rPr>
        <w:t xml:space="preserve">e Territoire d’énergie Ardèche </w:t>
      </w:r>
      <w:r>
        <w:rPr>
          <w:rFonts w:cstheme="minorHAnsi"/>
          <w:color w:val="000000" w:themeColor="text1"/>
        </w:rPr>
        <w:t>à Privas, le Comité syndical du SDE</w:t>
      </w:r>
      <w:r w:rsidR="00F8308A">
        <w:rPr>
          <w:rFonts w:cstheme="minorHAnsi"/>
          <w:color w:val="000000" w:themeColor="text1"/>
        </w:rPr>
        <w:t>07</w:t>
      </w:r>
      <w:r>
        <w:rPr>
          <w:rFonts w:cstheme="minorHAnsi"/>
          <w:color w:val="000000" w:themeColor="text1"/>
        </w:rPr>
        <w:t xml:space="preserve">, sous la présidence de Monsieur Patrick COUDENE.  </w:t>
      </w:r>
    </w:p>
    <w:p w14:paraId="1FC12949" w14:textId="77777777" w:rsidR="00B21B44" w:rsidRDefault="00B21B44" w:rsidP="00B21B44">
      <w:pPr>
        <w:spacing w:after="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</w:t>
      </w:r>
    </w:p>
    <w:p w14:paraId="7AC226A4" w14:textId="77777777" w:rsidR="000E09E4" w:rsidRPr="00623E2D" w:rsidRDefault="000E09E4" w:rsidP="000E09E4">
      <w:pPr>
        <w:spacing w:after="0"/>
        <w:rPr>
          <w:rFonts w:cstheme="minorHAnsi"/>
        </w:rPr>
      </w:pPr>
      <w:r w:rsidRPr="00623E2D">
        <w:rPr>
          <w:rFonts w:cstheme="minorHAnsi"/>
          <w:u w:val="single"/>
        </w:rPr>
        <w:t>Membres convoqués</w:t>
      </w:r>
      <w:r>
        <w:rPr>
          <w:rFonts w:cstheme="minorHAnsi"/>
        </w:rPr>
        <w:t> : 99</w:t>
      </w:r>
    </w:p>
    <w:p w14:paraId="05515AD1" w14:textId="77777777" w:rsidR="000E09E4" w:rsidRPr="00623E2D" w:rsidRDefault="000E09E4" w:rsidP="000E09E4">
      <w:pPr>
        <w:spacing w:after="0"/>
        <w:rPr>
          <w:rFonts w:cstheme="minorHAnsi"/>
          <w:sz w:val="24"/>
        </w:rPr>
      </w:pPr>
      <w:r w:rsidRPr="00623E2D">
        <w:rPr>
          <w:rFonts w:cstheme="minorHAnsi"/>
          <w:u w:val="single"/>
        </w:rPr>
        <w:t>Membres présents</w:t>
      </w:r>
      <w:r w:rsidRPr="00623E2D">
        <w:rPr>
          <w:rFonts w:cstheme="minorHAnsi"/>
        </w:rPr>
        <w:t xml:space="preserve"> : </w:t>
      </w:r>
      <w:r>
        <w:rPr>
          <w:rFonts w:cstheme="minorHAnsi"/>
        </w:rPr>
        <w:t xml:space="preserve">    51</w:t>
      </w:r>
    </w:p>
    <w:p w14:paraId="1D15B382" w14:textId="77777777" w:rsidR="000E09E4" w:rsidRPr="00623E2D" w:rsidRDefault="000E09E4" w:rsidP="000E09E4">
      <w:pPr>
        <w:spacing w:after="0"/>
        <w:rPr>
          <w:rFonts w:cstheme="minorHAnsi"/>
        </w:rPr>
      </w:pPr>
      <w:r w:rsidRPr="00623E2D">
        <w:rPr>
          <w:rFonts w:cstheme="minorHAnsi"/>
          <w:u w:val="single"/>
        </w:rPr>
        <w:t>Excusés</w:t>
      </w:r>
      <w:r w:rsidRPr="00623E2D">
        <w:rPr>
          <w:rFonts w:cstheme="minorHAnsi"/>
        </w:rPr>
        <w:t xml:space="preserve"> : </w:t>
      </w:r>
      <w:r>
        <w:rPr>
          <w:rFonts w:cstheme="minorHAnsi"/>
        </w:rPr>
        <w:t xml:space="preserve">                          9</w:t>
      </w:r>
    </w:p>
    <w:p w14:paraId="649442D0" w14:textId="77777777" w:rsidR="000E09E4" w:rsidRPr="00623E2D" w:rsidRDefault="000E09E4" w:rsidP="000E09E4">
      <w:pPr>
        <w:spacing w:after="0"/>
        <w:rPr>
          <w:rFonts w:cstheme="minorHAnsi"/>
        </w:rPr>
      </w:pPr>
      <w:r w:rsidRPr="00623E2D">
        <w:rPr>
          <w:rFonts w:cstheme="minorHAnsi"/>
          <w:u w:val="single"/>
        </w:rPr>
        <w:t>Membres votants</w:t>
      </w:r>
      <w:r w:rsidRPr="00623E2D">
        <w:rPr>
          <w:rFonts w:cstheme="minorHAnsi"/>
        </w:rPr>
        <w:t xml:space="preserve"> : </w:t>
      </w:r>
      <w:r>
        <w:rPr>
          <w:rFonts w:cstheme="minorHAnsi"/>
        </w:rPr>
        <w:t xml:space="preserve">       51 </w:t>
      </w:r>
    </w:p>
    <w:p w14:paraId="79658F42" w14:textId="77777777" w:rsidR="00B21B44" w:rsidRDefault="00B21B44" w:rsidP="00B21B44">
      <w:pPr>
        <w:spacing w:after="0"/>
        <w:rPr>
          <w:rFonts w:cstheme="minorHAnsi"/>
        </w:rPr>
      </w:pPr>
    </w:p>
    <w:p w14:paraId="52E084CD" w14:textId="73F77D40" w:rsidR="00B21B44" w:rsidRPr="00185358" w:rsidRDefault="00B21B44" w:rsidP="00A73B28">
      <w:pPr>
        <w:tabs>
          <w:tab w:val="left" w:pos="2127"/>
        </w:tabs>
        <w:spacing w:after="0" w:line="240" w:lineRule="auto"/>
        <w:jc w:val="both"/>
        <w:rPr>
          <w:rFonts w:eastAsia="Times New Roman" w:cs="Tahoma"/>
          <w:b/>
          <w:bCs/>
          <w:kern w:val="32"/>
          <w:lang w:eastAsia="fr-FR"/>
        </w:rPr>
      </w:pPr>
      <w:r w:rsidRPr="001C711F">
        <w:rPr>
          <w:rFonts w:eastAsia="Times New Roman" w:cs="Tahoma"/>
          <w:b/>
          <w:bCs/>
          <w:kern w:val="32"/>
          <w:lang w:eastAsia="fr-FR"/>
        </w:rPr>
        <w:t>OBJET : BUDGET PRIMITIF 20</w:t>
      </w:r>
      <w:r>
        <w:rPr>
          <w:rFonts w:eastAsia="Times New Roman" w:cs="Tahoma"/>
          <w:b/>
          <w:bCs/>
          <w:kern w:val="32"/>
          <w:lang w:eastAsia="fr-FR"/>
        </w:rPr>
        <w:t>2</w:t>
      </w:r>
      <w:r w:rsidR="00390AC7">
        <w:rPr>
          <w:rFonts w:eastAsia="Times New Roman" w:cs="Tahoma"/>
          <w:b/>
          <w:bCs/>
          <w:kern w:val="32"/>
          <w:lang w:eastAsia="fr-FR"/>
        </w:rPr>
        <w:t>5</w:t>
      </w:r>
    </w:p>
    <w:p w14:paraId="0A539407" w14:textId="559867A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Le Vice-Président présente aux membres du Comité Syndical, le budget primitif 20</w:t>
      </w:r>
      <w:r>
        <w:rPr>
          <w:rFonts w:eastAsia="Times New Roman" w:cs="Times New Roman"/>
          <w:lang w:eastAsia="fr-FR"/>
        </w:rPr>
        <w:t>2</w:t>
      </w:r>
      <w:r w:rsidR="00390AC7">
        <w:rPr>
          <w:rFonts w:eastAsia="Times New Roman" w:cs="Times New Roman"/>
          <w:lang w:eastAsia="fr-FR"/>
        </w:rPr>
        <w:t>5</w:t>
      </w:r>
      <w:r w:rsidRPr="001C711F">
        <w:rPr>
          <w:rFonts w:eastAsia="Times New Roman" w:cs="Times New Roman"/>
          <w:lang w:eastAsia="fr-FR"/>
        </w:rPr>
        <w:t xml:space="preserve"> du SDE07.</w:t>
      </w:r>
    </w:p>
    <w:p w14:paraId="43628511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Il rappelle la création d’Autorisation de Programme et d’Autorisation d’Engagement avec les Crédits de Paiement associés :</w:t>
      </w:r>
    </w:p>
    <w:p w14:paraId="3597C3AE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1A3AB046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En fonctionnement :</w:t>
      </w:r>
    </w:p>
    <w:p w14:paraId="58891A89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BD7BD2">
        <w:rPr>
          <w:rFonts w:eastAsia="Times New Roman" w:cs="Times New Roman"/>
          <w:b/>
          <w:lang w:eastAsia="fr-FR"/>
        </w:rPr>
        <w:t>Gestion de la maintenance « Eclairage Public »</w:t>
      </w:r>
      <w:r>
        <w:rPr>
          <w:rFonts w:eastAsia="Times New Roman" w:cs="Times New Roman"/>
          <w:lang w:eastAsia="fr-FR"/>
        </w:rPr>
        <w:t> :</w:t>
      </w:r>
    </w:p>
    <w:p w14:paraId="1ECBE0F3" w14:textId="6370E341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AE de 2023 à 2027 d’un montant de 9 000 000M€ </w:t>
      </w:r>
    </w:p>
    <w:p w14:paraId="0E818254" w14:textId="296085B1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CP 202</w:t>
      </w:r>
      <w:r w:rsidR="00390AC7">
        <w:rPr>
          <w:rFonts w:eastAsia="Times New Roman" w:cs="Times New Roman"/>
          <w:lang w:eastAsia="fr-FR"/>
        </w:rPr>
        <w:t>5</w:t>
      </w:r>
      <w:r>
        <w:rPr>
          <w:rFonts w:eastAsia="Times New Roman" w:cs="Times New Roman"/>
          <w:lang w:eastAsia="fr-FR"/>
        </w:rPr>
        <w:t> : 1 900 000€</w:t>
      </w:r>
    </w:p>
    <w:p w14:paraId="19717EE6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321E01BE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D87EFB">
        <w:rPr>
          <w:rFonts w:eastAsia="Times New Roman" w:cs="Times New Roman"/>
          <w:b/>
          <w:lang w:eastAsia="fr-FR"/>
        </w:rPr>
        <w:t>MDE « </w:t>
      </w:r>
      <w:r w:rsidRPr="00D87EFB">
        <w:rPr>
          <w:rFonts w:eastAsia="Times New Roman" w:cs="Times New Roman"/>
          <w:b/>
          <w:lang w:eastAsia="fr-FR"/>
        </w:rPr>
        <w:tab/>
        <w:t>Contrat chaleur »</w:t>
      </w:r>
      <w:r>
        <w:rPr>
          <w:rFonts w:eastAsia="Times New Roman" w:cs="Times New Roman"/>
          <w:lang w:eastAsia="fr-FR"/>
        </w:rPr>
        <w:t> :</w:t>
      </w:r>
    </w:p>
    <w:p w14:paraId="443594BD" w14:textId="282862BF" w:rsidR="00B21B44" w:rsidRPr="00B73066" w:rsidRDefault="00B21B44" w:rsidP="00B21B44">
      <w:pPr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  <w:r>
        <w:rPr>
          <w:rFonts w:eastAsia="Times New Roman" w:cs="Times New Roman"/>
          <w:lang w:eastAsia="fr-FR"/>
        </w:rPr>
        <w:t>AE de 2024 à 2027 d’un montant de 6 200 000€</w:t>
      </w:r>
      <w:r w:rsidR="00B73066">
        <w:rPr>
          <w:rFonts w:eastAsia="Times New Roman" w:cs="Times New Roman"/>
          <w:lang w:eastAsia="fr-FR"/>
        </w:rPr>
        <w:t xml:space="preserve"> Compte tenu des modalités d’exécution du contrat, </w:t>
      </w:r>
      <w:r w:rsidR="00B73066" w:rsidRPr="00B73066">
        <w:rPr>
          <w:rFonts w:eastAsia="Times New Roman" w:cs="Times New Roman"/>
          <w:b/>
          <w:bCs/>
          <w:lang w:eastAsia="fr-FR"/>
        </w:rPr>
        <w:t xml:space="preserve">il convient de requalifier l’AE en AP. </w:t>
      </w:r>
    </w:p>
    <w:p w14:paraId="5697F1C6" w14:textId="64B721B6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CP 202</w:t>
      </w:r>
      <w:r w:rsidR="00B73066">
        <w:rPr>
          <w:rFonts w:eastAsia="Times New Roman" w:cs="Times New Roman"/>
          <w:lang w:eastAsia="fr-FR"/>
        </w:rPr>
        <w:t>5</w:t>
      </w:r>
      <w:r>
        <w:rPr>
          <w:rFonts w:eastAsia="Times New Roman" w:cs="Times New Roman"/>
          <w:lang w:eastAsia="fr-FR"/>
        </w:rPr>
        <w:t xml:space="preserve"> : </w:t>
      </w:r>
      <w:r w:rsidR="00B73066">
        <w:rPr>
          <w:rFonts w:eastAsia="Times New Roman" w:cs="Times New Roman"/>
          <w:lang w:eastAsia="fr-FR"/>
        </w:rPr>
        <w:t>2 254</w:t>
      </w:r>
      <w:r w:rsidR="00A73B28">
        <w:rPr>
          <w:rFonts w:eastAsia="Times New Roman" w:cs="Times New Roman"/>
          <w:lang w:eastAsia="fr-FR"/>
        </w:rPr>
        <w:t> </w:t>
      </w:r>
      <w:r w:rsidR="00B73066">
        <w:rPr>
          <w:rFonts w:eastAsia="Times New Roman" w:cs="Times New Roman"/>
          <w:lang w:eastAsia="fr-FR"/>
        </w:rPr>
        <w:t>864</w:t>
      </w:r>
      <w:r>
        <w:rPr>
          <w:rFonts w:eastAsia="Times New Roman" w:cs="Times New Roman"/>
          <w:lang w:eastAsia="fr-FR"/>
        </w:rPr>
        <w:t>€</w:t>
      </w:r>
    </w:p>
    <w:p w14:paraId="60951FE0" w14:textId="53F4CFA2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71CE4BF8" w14:textId="4E0FBEF5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A73B28">
        <w:rPr>
          <w:rFonts w:eastAsia="Times New Roman" w:cs="Times New Roman"/>
          <w:b/>
          <w:bCs/>
          <w:lang w:eastAsia="fr-FR"/>
        </w:rPr>
        <w:t>Gestion des « Audits Energétiques »</w:t>
      </w:r>
      <w:r>
        <w:rPr>
          <w:rFonts w:eastAsia="Times New Roman" w:cs="Times New Roman"/>
          <w:lang w:eastAsia="fr-FR"/>
        </w:rPr>
        <w:t> :</w:t>
      </w:r>
    </w:p>
    <w:p w14:paraId="4D1D90C6" w14:textId="5BDF39CE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AE de 2025-2026 d’un montant de 1 000 000€</w:t>
      </w:r>
    </w:p>
    <w:p w14:paraId="1DB97372" w14:textId="5FC62E4B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CP 2025 : 500 000€</w:t>
      </w:r>
    </w:p>
    <w:p w14:paraId="0028AD44" w14:textId="338BABDF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104D5D43" w14:textId="6CFC6C20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A73B28">
        <w:rPr>
          <w:rFonts w:eastAsia="Times New Roman" w:cs="Times New Roman"/>
          <w:b/>
          <w:bCs/>
          <w:lang w:eastAsia="fr-FR"/>
        </w:rPr>
        <w:t>Gestion de la maintenance des objets connectés</w:t>
      </w:r>
      <w:r>
        <w:rPr>
          <w:rFonts w:eastAsia="Times New Roman" w:cs="Times New Roman"/>
          <w:lang w:eastAsia="fr-FR"/>
        </w:rPr>
        <w:t> :</w:t>
      </w:r>
    </w:p>
    <w:p w14:paraId="2ACCF878" w14:textId="5C977B04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AE de 2025-2028 d’un montant de 500 000€</w:t>
      </w:r>
    </w:p>
    <w:p w14:paraId="3A573746" w14:textId="0BBB86EA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CP 2025 : 100 000€</w:t>
      </w:r>
    </w:p>
    <w:p w14:paraId="1E230DFA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41DBE984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En investissement :</w:t>
      </w:r>
    </w:p>
    <w:p w14:paraId="2C9A418C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F54D96">
        <w:rPr>
          <w:rFonts w:eastAsia="Times New Roman" w:cs="Times New Roman"/>
          <w:b/>
          <w:lang w:eastAsia="fr-FR"/>
        </w:rPr>
        <w:t>Programmation travaux « Eclairage Public »</w:t>
      </w:r>
      <w:r>
        <w:rPr>
          <w:rFonts w:eastAsia="Times New Roman" w:cs="Times New Roman"/>
          <w:lang w:eastAsia="fr-FR"/>
        </w:rPr>
        <w:t> :</w:t>
      </w:r>
    </w:p>
    <w:p w14:paraId="34D17479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AP de 2023 à 2027 d’un montant de 25 500 000€</w:t>
      </w:r>
    </w:p>
    <w:p w14:paraId="626E0CEA" w14:textId="0A61845A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CP 202</w:t>
      </w:r>
      <w:r w:rsidR="00B73066">
        <w:rPr>
          <w:rFonts w:eastAsia="Times New Roman" w:cs="Times New Roman"/>
          <w:lang w:eastAsia="fr-FR"/>
        </w:rPr>
        <w:t>5</w:t>
      </w:r>
      <w:r>
        <w:rPr>
          <w:rFonts w:eastAsia="Times New Roman" w:cs="Times New Roman"/>
          <w:lang w:eastAsia="fr-FR"/>
        </w:rPr>
        <w:t xml:space="preserve"> : </w:t>
      </w:r>
      <w:r w:rsidR="006E4A51">
        <w:rPr>
          <w:rFonts w:eastAsia="Times New Roman" w:cs="Times New Roman"/>
          <w:lang w:eastAsia="fr-FR"/>
        </w:rPr>
        <w:t>8 5</w:t>
      </w:r>
      <w:r w:rsidR="00B73066">
        <w:rPr>
          <w:rFonts w:eastAsia="Times New Roman" w:cs="Times New Roman"/>
          <w:lang w:eastAsia="fr-FR"/>
        </w:rPr>
        <w:t>00</w:t>
      </w:r>
      <w:r>
        <w:rPr>
          <w:rFonts w:eastAsia="Times New Roman" w:cs="Times New Roman"/>
          <w:lang w:eastAsia="fr-FR"/>
        </w:rPr>
        <w:t> 000€ (hors travaux coordonnés)</w:t>
      </w:r>
    </w:p>
    <w:p w14:paraId="32F2475F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44335742" w14:textId="08E6B02C" w:rsidR="00B21B44" w:rsidRPr="00B73066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F54D96">
        <w:rPr>
          <w:rFonts w:eastAsia="Times New Roman" w:cs="Times New Roman"/>
          <w:b/>
          <w:lang w:eastAsia="fr-FR"/>
        </w:rPr>
        <w:t>Programmation travaux « Electrification rurale » :</w:t>
      </w:r>
    </w:p>
    <w:p w14:paraId="00A75872" w14:textId="5BE8B57E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AP 2021 d’un montant de 4 701 407,98€ et CP 202</w:t>
      </w:r>
      <w:r w:rsidR="00B73066">
        <w:rPr>
          <w:rFonts w:eastAsia="Times New Roman" w:cs="Times New Roman"/>
          <w:lang w:eastAsia="fr-FR"/>
        </w:rPr>
        <w:t>5</w:t>
      </w:r>
      <w:r>
        <w:rPr>
          <w:rFonts w:eastAsia="Times New Roman" w:cs="Times New Roman"/>
          <w:lang w:eastAsia="fr-FR"/>
        </w:rPr>
        <w:t xml:space="preserve"> à hauteur de 2</w:t>
      </w:r>
      <w:r w:rsidR="00B73066">
        <w:rPr>
          <w:rFonts w:eastAsia="Times New Roman" w:cs="Times New Roman"/>
          <w:lang w:eastAsia="fr-FR"/>
        </w:rPr>
        <w:t> 798 377,56</w:t>
      </w:r>
      <w:r>
        <w:rPr>
          <w:rFonts w:eastAsia="Times New Roman" w:cs="Times New Roman"/>
          <w:lang w:eastAsia="fr-FR"/>
        </w:rPr>
        <w:t>€</w:t>
      </w:r>
    </w:p>
    <w:p w14:paraId="2EF8BC3F" w14:textId="610168C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AP 2022 d’un montant de 6 293 725€ et CP 202</w:t>
      </w:r>
      <w:r w:rsidR="00B73066">
        <w:rPr>
          <w:rFonts w:eastAsia="Times New Roman" w:cs="Times New Roman"/>
          <w:lang w:eastAsia="fr-FR"/>
        </w:rPr>
        <w:t>5</w:t>
      </w:r>
      <w:r>
        <w:rPr>
          <w:rFonts w:eastAsia="Times New Roman" w:cs="Times New Roman"/>
          <w:lang w:eastAsia="fr-FR"/>
        </w:rPr>
        <w:t xml:space="preserve"> à hauteur de </w:t>
      </w:r>
      <w:r w:rsidR="006E4A51">
        <w:rPr>
          <w:rFonts w:eastAsia="Times New Roman" w:cs="Times New Roman"/>
          <w:lang w:eastAsia="fr-FR"/>
        </w:rPr>
        <w:t>2 471 247,73</w:t>
      </w:r>
      <w:r>
        <w:rPr>
          <w:rFonts w:eastAsia="Times New Roman" w:cs="Times New Roman"/>
          <w:lang w:eastAsia="fr-FR"/>
        </w:rPr>
        <w:t>€</w:t>
      </w:r>
    </w:p>
    <w:p w14:paraId="175A8486" w14:textId="5190A702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AP 2023 d’un montant de 10 977 412€ et CP </w:t>
      </w:r>
      <w:r w:rsidR="00B73066">
        <w:rPr>
          <w:rFonts w:eastAsia="Times New Roman" w:cs="Times New Roman"/>
          <w:lang w:eastAsia="fr-FR"/>
        </w:rPr>
        <w:t>2025</w:t>
      </w:r>
      <w:r>
        <w:rPr>
          <w:rFonts w:eastAsia="Times New Roman" w:cs="Times New Roman"/>
          <w:lang w:eastAsia="fr-FR"/>
        </w:rPr>
        <w:t xml:space="preserve"> à hauteur de </w:t>
      </w:r>
      <w:r w:rsidR="00B73066">
        <w:rPr>
          <w:rFonts w:eastAsia="Times New Roman" w:cs="Times New Roman"/>
          <w:lang w:eastAsia="fr-FR"/>
        </w:rPr>
        <w:t>3 </w:t>
      </w:r>
      <w:r w:rsidR="006E4A51">
        <w:rPr>
          <w:rFonts w:eastAsia="Times New Roman" w:cs="Times New Roman"/>
          <w:lang w:eastAsia="fr-FR"/>
        </w:rPr>
        <w:t>62</w:t>
      </w:r>
      <w:r w:rsidR="00B73066">
        <w:rPr>
          <w:rFonts w:eastAsia="Times New Roman" w:cs="Times New Roman"/>
          <w:lang w:eastAsia="fr-FR"/>
        </w:rPr>
        <w:t>0 000,00</w:t>
      </w:r>
      <w:r>
        <w:rPr>
          <w:rFonts w:eastAsia="Times New Roman" w:cs="Times New Roman"/>
          <w:lang w:eastAsia="fr-FR"/>
        </w:rPr>
        <w:t>€</w:t>
      </w:r>
    </w:p>
    <w:p w14:paraId="5BB08C51" w14:textId="1F03E867" w:rsidR="00A73B28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AP 2024 d’un montant de 11 973 279€ et CP 202</w:t>
      </w:r>
      <w:r w:rsidR="00B73066">
        <w:rPr>
          <w:rFonts w:eastAsia="Times New Roman" w:cs="Times New Roman"/>
          <w:lang w:eastAsia="fr-FR"/>
        </w:rPr>
        <w:t>5</w:t>
      </w:r>
      <w:r>
        <w:rPr>
          <w:rFonts w:eastAsia="Times New Roman" w:cs="Times New Roman"/>
          <w:lang w:eastAsia="fr-FR"/>
        </w:rPr>
        <w:t xml:space="preserve"> à hauteur de </w:t>
      </w:r>
      <w:r w:rsidR="00B73066">
        <w:rPr>
          <w:rFonts w:eastAsia="Times New Roman" w:cs="Times New Roman"/>
          <w:lang w:eastAsia="fr-FR"/>
        </w:rPr>
        <w:t>3 </w:t>
      </w:r>
      <w:r w:rsidR="006E4A51">
        <w:rPr>
          <w:rFonts w:eastAsia="Times New Roman" w:cs="Times New Roman"/>
          <w:lang w:eastAsia="fr-FR"/>
        </w:rPr>
        <w:t>600</w:t>
      </w:r>
      <w:r w:rsidR="00B73066">
        <w:rPr>
          <w:rFonts w:eastAsia="Times New Roman" w:cs="Times New Roman"/>
          <w:lang w:eastAsia="fr-FR"/>
        </w:rPr>
        <w:t> 374,71</w:t>
      </w:r>
      <w:r>
        <w:rPr>
          <w:rFonts w:eastAsia="Times New Roman" w:cs="Times New Roman"/>
          <w:lang w:eastAsia="fr-FR"/>
        </w:rPr>
        <w:t>€</w:t>
      </w:r>
    </w:p>
    <w:p w14:paraId="78E4EFA1" w14:textId="788CE52D" w:rsidR="00B21B44" w:rsidRDefault="00B73066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AP 2025 d’un montant de 14 000 000€ et CP 2025 à hauteur de </w:t>
      </w:r>
      <w:r w:rsidR="006E4A51">
        <w:rPr>
          <w:rFonts w:eastAsia="Times New Roman" w:cs="Times New Roman"/>
          <w:lang w:eastAsia="fr-FR"/>
        </w:rPr>
        <w:t>3 510 000,00</w:t>
      </w:r>
      <w:r>
        <w:rPr>
          <w:rFonts w:eastAsia="Times New Roman" w:cs="Times New Roman"/>
          <w:lang w:eastAsia="fr-FR"/>
        </w:rPr>
        <w:t>€</w:t>
      </w:r>
    </w:p>
    <w:p w14:paraId="349A174A" w14:textId="167C4608" w:rsidR="00CB0870" w:rsidRDefault="00CB0870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389753B5" w14:textId="20480B66" w:rsidR="00CB0870" w:rsidRDefault="00CB0870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CB0870">
        <w:rPr>
          <w:rFonts w:eastAsia="Times New Roman" w:cs="Times New Roman"/>
          <w:b/>
          <w:bCs/>
          <w:lang w:eastAsia="fr-FR"/>
        </w:rPr>
        <w:t>Locaux TE07 « Restructuration »</w:t>
      </w:r>
      <w:r>
        <w:rPr>
          <w:rFonts w:eastAsia="Times New Roman" w:cs="Times New Roman"/>
          <w:lang w:eastAsia="fr-FR"/>
        </w:rPr>
        <w:t> :</w:t>
      </w:r>
    </w:p>
    <w:p w14:paraId="06EA0FB1" w14:textId="43262B96" w:rsidR="00CB0870" w:rsidRDefault="00CB0870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AP 2025-2026 d’un montant de 2 500 000€</w:t>
      </w:r>
    </w:p>
    <w:p w14:paraId="2A62E34C" w14:textId="564964DF" w:rsidR="00CB0870" w:rsidRDefault="00CB0870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CP 2025 : 2 000 000€</w:t>
      </w:r>
    </w:p>
    <w:p w14:paraId="01C9DA2E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37C3DB1F" w14:textId="7CCB1531" w:rsidR="00B21B44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A73B28">
        <w:rPr>
          <w:rFonts w:eastAsia="Times New Roman" w:cs="Times New Roman"/>
          <w:b/>
          <w:bCs/>
          <w:lang w:eastAsia="fr-FR"/>
        </w:rPr>
        <w:t>Création d’un réseau d’objets connectés</w:t>
      </w:r>
      <w:r>
        <w:rPr>
          <w:rFonts w:eastAsia="Times New Roman" w:cs="Times New Roman"/>
          <w:lang w:eastAsia="fr-FR"/>
        </w:rPr>
        <w:t xml:space="preserve"> : </w:t>
      </w:r>
    </w:p>
    <w:p w14:paraId="38F029F2" w14:textId="198EB594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AP 2025-2028 d’un montant de 3 000 000€</w:t>
      </w:r>
    </w:p>
    <w:p w14:paraId="12D8C0D1" w14:textId="49AD1465" w:rsidR="00A73B28" w:rsidRDefault="00A73B28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CP 2025 : 600 000€</w:t>
      </w:r>
    </w:p>
    <w:p w14:paraId="1E117655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1EF55088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 xml:space="preserve">I – La section de fonctionnement </w:t>
      </w:r>
    </w:p>
    <w:p w14:paraId="441F26FB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</w:p>
    <w:p w14:paraId="7A274026" w14:textId="49A197EC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u w:val="single"/>
          <w:lang w:eastAsia="fr-FR"/>
        </w:rPr>
        <w:t>Les recettes</w:t>
      </w:r>
      <w:r w:rsidRPr="001C711F">
        <w:rPr>
          <w:rFonts w:eastAsia="Times New Roman" w:cs="Times New Roman"/>
          <w:lang w:eastAsia="fr-FR"/>
        </w:rPr>
        <w:t xml:space="preserve"> de fonctionnement de l’année 20</w:t>
      </w:r>
      <w:r>
        <w:rPr>
          <w:rFonts w:eastAsia="Times New Roman" w:cs="Times New Roman"/>
          <w:lang w:eastAsia="fr-FR"/>
        </w:rPr>
        <w:t>2</w:t>
      </w:r>
      <w:r w:rsidR="00B73066">
        <w:rPr>
          <w:rFonts w:eastAsia="Times New Roman" w:cs="Times New Roman"/>
          <w:lang w:eastAsia="fr-FR"/>
        </w:rPr>
        <w:t>5</w:t>
      </w:r>
      <w:r w:rsidRPr="001C711F">
        <w:rPr>
          <w:rFonts w:eastAsia="Times New Roman" w:cs="Times New Roman"/>
          <w:lang w:eastAsia="fr-FR"/>
        </w:rPr>
        <w:t>, sont estimées à la somme de</w:t>
      </w:r>
      <w:r>
        <w:rPr>
          <w:rFonts w:eastAsia="Times New Roman" w:cs="Times New Roman"/>
          <w:lang w:eastAsia="fr-FR"/>
        </w:rPr>
        <w:t xml:space="preserve"> </w:t>
      </w:r>
      <w:r w:rsidR="006E4A51">
        <w:rPr>
          <w:rFonts w:eastAsia="Times New Roman" w:cs="Times New Roman"/>
          <w:lang w:eastAsia="fr-FR"/>
        </w:rPr>
        <w:t>19 717 620,00</w:t>
      </w:r>
      <w:r w:rsidR="00B73066">
        <w:rPr>
          <w:rFonts w:eastAsia="Times New Roman" w:cs="Times New Roman"/>
          <w:lang w:eastAsia="fr-FR"/>
        </w:rPr>
        <w:t>€</w:t>
      </w:r>
      <w:r w:rsidRPr="001C711F">
        <w:rPr>
          <w:rFonts w:eastAsia="Times New Roman" w:cs="Times New Roman"/>
          <w:lang w:eastAsia="fr-FR"/>
        </w:rPr>
        <w:t xml:space="preserve"> et comprennent :</w:t>
      </w:r>
    </w:p>
    <w:p w14:paraId="4ED4F142" w14:textId="085DE721" w:rsidR="00B21B44" w:rsidRPr="001C711F" w:rsidRDefault="00B21B44" w:rsidP="00B21B4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 xml:space="preserve">les redevances des concessionnaires à hauteur de </w:t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  <w:t xml:space="preserve">2 </w:t>
      </w:r>
      <w:r w:rsidR="00B73066">
        <w:rPr>
          <w:rFonts w:eastAsia="Times New Roman" w:cs="Times New Roman"/>
          <w:lang w:eastAsia="fr-FR"/>
        </w:rPr>
        <w:t>2</w:t>
      </w:r>
      <w:r>
        <w:rPr>
          <w:rFonts w:eastAsia="Times New Roman" w:cs="Times New Roman"/>
          <w:lang w:eastAsia="fr-FR"/>
        </w:rPr>
        <w:t>00 000</w:t>
      </w:r>
      <w:r w:rsidRPr="001C711F">
        <w:rPr>
          <w:rFonts w:eastAsia="Times New Roman" w:cs="Times New Roman"/>
          <w:lang w:eastAsia="fr-FR"/>
        </w:rPr>
        <w:t xml:space="preserve">€ </w:t>
      </w:r>
    </w:p>
    <w:p w14:paraId="5A3849C4" w14:textId="69EBB3B7" w:rsidR="00B21B44" w:rsidRPr="001C711F" w:rsidRDefault="00B21B44" w:rsidP="00B21B44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la perception de la Taxe sur la Consommation Finale d’Electricité :</w:t>
      </w:r>
      <w:r>
        <w:rPr>
          <w:rFonts w:eastAsia="Times New Roman" w:cs="Times New Roman"/>
          <w:lang w:eastAsia="fr-FR"/>
        </w:rPr>
        <w:tab/>
        <w:t>8</w:t>
      </w:r>
      <w:r w:rsidR="00941008">
        <w:rPr>
          <w:rFonts w:eastAsia="Times New Roman" w:cs="Times New Roman"/>
          <w:lang w:eastAsia="fr-FR"/>
        </w:rPr>
        <w:t> </w:t>
      </w:r>
      <w:r w:rsidR="0032596D">
        <w:rPr>
          <w:rFonts w:eastAsia="Times New Roman" w:cs="Times New Roman"/>
          <w:lang w:eastAsia="fr-FR"/>
        </w:rPr>
        <w:t>886</w:t>
      </w:r>
      <w:r w:rsidR="00941008">
        <w:rPr>
          <w:rFonts w:eastAsia="Times New Roman" w:cs="Times New Roman"/>
          <w:lang w:eastAsia="fr-FR"/>
        </w:rPr>
        <w:t xml:space="preserve"> </w:t>
      </w:r>
      <w:r w:rsidR="0032596D">
        <w:rPr>
          <w:rFonts w:eastAsia="Times New Roman" w:cs="Times New Roman"/>
          <w:lang w:eastAsia="fr-FR"/>
        </w:rPr>
        <w:t>336</w:t>
      </w:r>
      <w:r w:rsidRPr="001C711F">
        <w:rPr>
          <w:rFonts w:eastAsia="Times New Roman" w:cs="Times New Roman"/>
          <w:lang w:eastAsia="fr-FR"/>
        </w:rPr>
        <w:t>€</w:t>
      </w:r>
    </w:p>
    <w:p w14:paraId="3C72C769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1A58CD81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u w:val="single"/>
          <w:lang w:eastAsia="fr-FR"/>
        </w:rPr>
        <w:t>Les dépenses</w:t>
      </w:r>
      <w:r w:rsidRPr="001C711F">
        <w:rPr>
          <w:rFonts w:eastAsia="Times New Roman" w:cs="Times New Roman"/>
          <w:lang w:eastAsia="fr-FR"/>
        </w:rPr>
        <w:t xml:space="preserve"> de fonctionnement liées à l’administration du Syndicat sont estimées, quant à elles, à   </w:t>
      </w:r>
    </w:p>
    <w:p w14:paraId="5BD096D8" w14:textId="2E9B2B31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 </w:t>
      </w:r>
      <w:r w:rsidR="0032596D">
        <w:rPr>
          <w:rFonts w:eastAsia="Times New Roman" w:cs="Times New Roman"/>
          <w:lang w:eastAsia="fr-FR"/>
        </w:rPr>
        <w:t>10 370 934</w:t>
      </w:r>
      <w:r w:rsidRPr="001C711F">
        <w:rPr>
          <w:rFonts w:eastAsia="Times New Roman" w:cs="Times New Roman"/>
          <w:lang w:eastAsia="fr-FR"/>
        </w:rPr>
        <w:t xml:space="preserve">€ figurant aux chapitres 011 et 012 : </w:t>
      </w:r>
    </w:p>
    <w:p w14:paraId="6C37B329" w14:textId="77777777" w:rsidR="00B21B44" w:rsidRPr="001C711F" w:rsidRDefault="00B21B44" w:rsidP="00B21B44">
      <w:p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</w:p>
    <w:p w14:paraId="2FE10BCE" w14:textId="7E7371EC" w:rsidR="00B21B44" w:rsidRPr="001C711F" w:rsidRDefault="00B21B44" w:rsidP="00B21B44">
      <w:p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Une partie de l’excédent de fonctionnement 20</w:t>
      </w:r>
      <w:r>
        <w:rPr>
          <w:rFonts w:eastAsia="Times New Roman" w:cs="Times New Roman"/>
          <w:lang w:eastAsia="fr-FR"/>
        </w:rPr>
        <w:t>2</w:t>
      </w:r>
      <w:r w:rsidR="0032596D">
        <w:rPr>
          <w:rFonts w:eastAsia="Times New Roman" w:cs="Times New Roman"/>
          <w:lang w:eastAsia="fr-FR"/>
        </w:rPr>
        <w:t>4</w:t>
      </w:r>
      <w:r w:rsidRPr="001C711F">
        <w:rPr>
          <w:rFonts w:eastAsia="Times New Roman" w:cs="Times New Roman"/>
          <w:lang w:eastAsia="fr-FR"/>
        </w:rPr>
        <w:t xml:space="preserve"> est reportée sur le BP 20</w:t>
      </w:r>
      <w:r>
        <w:rPr>
          <w:rFonts w:eastAsia="Times New Roman" w:cs="Times New Roman"/>
          <w:lang w:eastAsia="fr-FR"/>
        </w:rPr>
        <w:t>2</w:t>
      </w:r>
      <w:r w:rsidR="0032596D">
        <w:rPr>
          <w:rFonts w:eastAsia="Times New Roman" w:cs="Times New Roman"/>
          <w:lang w:eastAsia="fr-FR"/>
        </w:rPr>
        <w:t>5</w:t>
      </w:r>
      <w:r w:rsidRPr="001C711F">
        <w:rPr>
          <w:rFonts w:eastAsia="Times New Roman" w:cs="Times New Roman"/>
          <w:lang w:eastAsia="fr-FR"/>
        </w:rPr>
        <w:t xml:space="preserve">, à hauteur de </w:t>
      </w:r>
      <w:r w:rsidR="0032596D">
        <w:rPr>
          <w:rFonts w:eastAsia="Times New Roman" w:cs="Times New Roman"/>
          <w:lang w:eastAsia="fr-FR"/>
        </w:rPr>
        <w:t>1 0</w:t>
      </w:r>
      <w:r>
        <w:rPr>
          <w:rFonts w:eastAsia="Times New Roman" w:cs="Times New Roman"/>
          <w:lang w:eastAsia="fr-FR"/>
        </w:rPr>
        <w:t>00</w:t>
      </w:r>
      <w:r w:rsidRPr="001C711F">
        <w:rPr>
          <w:rFonts w:eastAsia="Times New Roman" w:cs="Times New Roman"/>
          <w:lang w:eastAsia="fr-FR"/>
        </w:rPr>
        <w:t> 000€</w:t>
      </w:r>
    </w:p>
    <w:p w14:paraId="678EA47E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66495AA0" w14:textId="7348560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 xml:space="preserve">L’équilibre de la section de fonctionnement s’établit à la somme de </w:t>
      </w:r>
      <w:r w:rsidR="006E4A51">
        <w:rPr>
          <w:rFonts w:eastAsia="Times New Roman" w:cs="Times New Roman"/>
          <w:b/>
          <w:lang w:eastAsia="fr-FR"/>
        </w:rPr>
        <w:t>19 717 620,00</w:t>
      </w:r>
      <w:r w:rsidRPr="001C711F">
        <w:rPr>
          <w:rFonts w:eastAsia="Times New Roman" w:cs="Times New Roman"/>
          <w:b/>
          <w:lang w:eastAsia="fr-FR"/>
        </w:rPr>
        <w:t>€, avec les opérations d’ordre</w:t>
      </w:r>
      <w:r w:rsidRPr="001C711F">
        <w:rPr>
          <w:rFonts w:eastAsia="Times New Roman" w:cs="Times New Roman"/>
          <w:lang w:eastAsia="fr-FR"/>
        </w:rPr>
        <w:t>.</w:t>
      </w:r>
    </w:p>
    <w:p w14:paraId="272698B3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</w:p>
    <w:p w14:paraId="0EBCC613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>II / La section d’investissement</w:t>
      </w:r>
    </w:p>
    <w:p w14:paraId="7B077F78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 xml:space="preserve">En section d’investissement, deux domaines sont distingués : </w:t>
      </w:r>
    </w:p>
    <w:p w14:paraId="69B2241D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722060BF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i/>
          <w:lang w:eastAsia="fr-FR"/>
        </w:rPr>
      </w:pPr>
      <w:r w:rsidRPr="001C711F">
        <w:rPr>
          <w:rFonts w:eastAsia="Times New Roman" w:cs="Times New Roman"/>
          <w:b/>
          <w:i/>
          <w:lang w:eastAsia="fr-FR"/>
        </w:rPr>
        <w:t>1/ les investissements qui se rapportent à l’administration générale</w:t>
      </w:r>
    </w:p>
    <w:p w14:paraId="5F2C7506" w14:textId="77777777" w:rsidR="00B21B44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</w:p>
    <w:p w14:paraId="479247E9" w14:textId="2D5B07C5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b/>
          <w:lang w:eastAsia="fr-FR"/>
        </w:rPr>
        <w:t>L</w:t>
      </w:r>
      <w:r w:rsidRPr="001C711F">
        <w:rPr>
          <w:rFonts w:eastAsia="Times New Roman" w:cs="Times New Roman"/>
          <w:b/>
          <w:lang w:eastAsia="fr-FR"/>
        </w:rPr>
        <w:t>es dépenses</w:t>
      </w:r>
      <w:r w:rsidRPr="001C711F">
        <w:rPr>
          <w:rFonts w:eastAsia="Times New Roman" w:cs="Times New Roman"/>
          <w:lang w:eastAsia="fr-FR"/>
        </w:rPr>
        <w:t> : Travaux d’aménagements de bureaux, acquisition matériel in</w:t>
      </w:r>
      <w:r>
        <w:rPr>
          <w:rFonts w:eastAsia="Times New Roman" w:cs="Times New Roman"/>
          <w:lang w:eastAsia="fr-FR"/>
        </w:rPr>
        <w:t xml:space="preserve">formatique, nouveaux logiciels </w:t>
      </w:r>
      <w:r w:rsidRPr="001C711F">
        <w:rPr>
          <w:rFonts w:eastAsia="Times New Roman" w:cs="Times New Roman"/>
          <w:lang w:eastAsia="fr-FR"/>
        </w:rPr>
        <w:t xml:space="preserve">et mobiliers soit </w:t>
      </w:r>
      <w:r w:rsidR="00941008">
        <w:rPr>
          <w:rFonts w:eastAsia="Times New Roman" w:cs="Times New Roman"/>
          <w:lang w:eastAsia="fr-FR"/>
        </w:rPr>
        <w:t>2</w:t>
      </w:r>
      <w:r w:rsidR="006E4A51">
        <w:rPr>
          <w:rFonts w:eastAsia="Times New Roman" w:cs="Times New Roman"/>
          <w:lang w:eastAsia="fr-FR"/>
        </w:rPr>
        <w:t> 290 000</w:t>
      </w:r>
      <w:r w:rsidRPr="001C711F">
        <w:rPr>
          <w:rFonts w:eastAsia="Times New Roman" w:cs="Times New Roman"/>
          <w:lang w:eastAsia="fr-FR"/>
        </w:rPr>
        <w:t>€.</w:t>
      </w:r>
    </w:p>
    <w:p w14:paraId="51DDA297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i/>
          <w:lang w:eastAsia="fr-FR"/>
        </w:rPr>
      </w:pPr>
    </w:p>
    <w:p w14:paraId="3EB358BE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i/>
          <w:lang w:eastAsia="fr-FR"/>
        </w:rPr>
      </w:pPr>
      <w:r w:rsidRPr="001C711F">
        <w:rPr>
          <w:rFonts w:eastAsia="Times New Roman" w:cs="Times New Roman"/>
          <w:b/>
          <w:i/>
          <w:lang w:eastAsia="fr-FR"/>
        </w:rPr>
        <w:t>2/ les investissements qui se rapportent à l’exercice de la maîtrise d’ouvrage</w:t>
      </w:r>
    </w:p>
    <w:p w14:paraId="01603B5B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 xml:space="preserve"> </w:t>
      </w:r>
      <w:r w:rsidRPr="001C711F">
        <w:rPr>
          <w:rFonts w:eastAsia="Times New Roman" w:cs="Times New Roman"/>
          <w:b/>
          <w:lang w:eastAsia="fr-FR"/>
        </w:rPr>
        <w:t>Les dépenses</w:t>
      </w:r>
      <w:r w:rsidRPr="001C711F">
        <w:rPr>
          <w:rFonts w:eastAsia="Times New Roman" w:cs="Times New Roman"/>
          <w:lang w:eastAsia="fr-FR"/>
        </w:rPr>
        <w:t> :</w:t>
      </w:r>
    </w:p>
    <w:p w14:paraId="63D1CCBA" w14:textId="67CA9110" w:rsidR="00B21B44" w:rsidRPr="001C711F" w:rsidRDefault="00B21B44" w:rsidP="00B21B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T</w:t>
      </w:r>
      <w:r>
        <w:rPr>
          <w:rFonts w:eastAsia="Times New Roman" w:cs="Times New Roman"/>
          <w:lang w:eastAsia="fr-FR"/>
        </w:rPr>
        <w:t xml:space="preserve">ravaux ER pour un montant de </w:t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</w:r>
      <w:r w:rsidR="006E4A51">
        <w:rPr>
          <w:rFonts w:eastAsia="Times New Roman" w:cs="Times New Roman"/>
          <w:lang w:eastAsia="fr-FR"/>
        </w:rPr>
        <w:t>16 000</w:t>
      </w:r>
      <w:r>
        <w:rPr>
          <w:rFonts w:eastAsia="Times New Roman" w:cs="Times New Roman"/>
          <w:lang w:eastAsia="fr-FR"/>
        </w:rPr>
        <w:t xml:space="preserve"> 000</w:t>
      </w:r>
      <w:r w:rsidRPr="001C711F">
        <w:rPr>
          <w:rFonts w:eastAsia="Times New Roman" w:cs="Times New Roman"/>
          <w:lang w:eastAsia="fr-FR"/>
        </w:rPr>
        <w:t>€</w:t>
      </w:r>
    </w:p>
    <w:p w14:paraId="02A7DE08" w14:textId="66E2D767" w:rsidR="00B21B44" w:rsidRPr="001C711F" w:rsidRDefault="00B21B44" w:rsidP="00B21B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Travaux so</w:t>
      </w:r>
      <w:r>
        <w:rPr>
          <w:rFonts w:eastAsia="Times New Roman" w:cs="Times New Roman"/>
          <w:lang w:eastAsia="fr-FR"/>
        </w:rPr>
        <w:t xml:space="preserve">us Maîtrise d’Ouvrage Déléguée          </w:t>
      </w:r>
      <w:r w:rsidR="00941008">
        <w:rPr>
          <w:rFonts w:eastAsia="Times New Roman" w:cs="Times New Roman"/>
          <w:lang w:eastAsia="fr-FR"/>
        </w:rPr>
        <w:t xml:space="preserve"> </w:t>
      </w:r>
      <w:r w:rsidR="006E4A51">
        <w:rPr>
          <w:rFonts w:eastAsia="Times New Roman" w:cs="Times New Roman"/>
          <w:lang w:eastAsia="fr-FR"/>
        </w:rPr>
        <w:t>6 989 925</w:t>
      </w:r>
      <w:r w:rsidRPr="001C711F">
        <w:rPr>
          <w:rFonts w:eastAsia="Times New Roman" w:cs="Times New Roman"/>
          <w:lang w:eastAsia="fr-FR"/>
        </w:rPr>
        <w:t>€</w:t>
      </w:r>
      <w:r w:rsidRPr="001C711F">
        <w:rPr>
          <w:rFonts w:eastAsia="Times New Roman" w:cs="Times New Roman"/>
          <w:lang w:eastAsia="fr-FR"/>
        </w:rPr>
        <w:tab/>
      </w:r>
      <w:r w:rsidRPr="001C711F">
        <w:rPr>
          <w:rFonts w:eastAsia="Times New Roman" w:cs="Times New Roman"/>
          <w:lang w:eastAsia="fr-FR"/>
        </w:rPr>
        <w:tab/>
      </w:r>
      <w:r w:rsidRPr="001C711F">
        <w:rPr>
          <w:rFonts w:eastAsia="Times New Roman" w:cs="Times New Roman"/>
          <w:lang w:eastAsia="fr-FR"/>
        </w:rPr>
        <w:tab/>
      </w:r>
    </w:p>
    <w:p w14:paraId="7CFD8B68" w14:textId="7FD3DE7F" w:rsidR="00B21B44" w:rsidRDefault="00B21B44" w:rsidP="00B21B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Compétence Eclairage Public </w:t>
      </w:r>
      <w:r w:rsidRPr="001C711F">
        <w:rPr>
          <w:rFonts w:eastAsia="Times New Roman" w:cs="Times New Roman"/>
          <w:lang w:eastAsia="fr-FR"/>
        </w:rPr>
        <w:tab/>
      </w:r>
      <w:r w:rsidRPr="001C711F">
        <w:rPr>
          <w:rFonts w:eastAsia="Times New Roman" w:cs="Times New Roman"/>
          <w:lang w:eastAsia="fr-FR"/>
        </w:rPr>
        <w:tab/>
        <w:t xml:space="preserve"> </w:t>
      </w:r>
      <w:r w:rsidR="00941008">
        <w:rPr>
          <w:rFonts w:eastAsia="Times New Roman" w:cs="Times New Roman"/>
          <w:lang w:eastAsia="fr-FR"/>
        </w:rPr>
        <w:tab/>
      </w:r>
      <w:r w:rsidR="006E4A51">
        <w:rPr>
          <w:rFonts w:eastAsia="Times New Roman" w:cs="Times New Roman"/>
          <w:lang w:eastAsia="fr-FR"/>
        </w:rPr>
        <w:t>10 593 933</w:t>
      </w:r>
      <w:r>
        <w:rPr>
          <w:rFonts w:eastAsia="Times New Roman" w:cs="Times New Roman"/>
          <w:lang w:eastAsia="fr-FR"/>
        </w:rPr>
        <w:t>€</w:t>
      </w:r>
    </w:p>
    <w:p w14:paraId="353FF108" w14:textId="032D53DE" w:rsidR="00941008" w:rsidRPr="001C711F" w:rsidRDefault="00941008" w:rsidP="00B21B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>Création d’un réseau « Objets connectés »</w:t>
      </w:r>
      <w:r>
        <w:rPr>
          <w:rFonts w:eastAsia="Times New Roman" w:cs="Times New Roman"/>
          <w:lang w:eastAsia="fr-FR"/>
        </w:rPr>
        <w:tab/>
        <w:t xml:space="preserve">     </w:t>
      </w:r>
      <w:r w:rsidR="006E4A51">
        <w:rPr>
          <w:rFonts w:eastAsia="Times New Roman" w:cs="Times New Roman"/>
          <w:lang w:eastAsia="fr-FR"/>
        </w:rPr>
        <w:t>8</w:t>
      </w:r>
      <w:r>
        <w:rPr>
          <w:rFonts w:eastAsia="Times New Roman" w:cs="Times New Roman"/>
          <w:lang w:eastAsia="fr-FR"/>
        </w:rPr>
        <w:t>00 000€</w:t>
      </w:r>
    </w:p>
    <w:p w14:paraId="25D9FEF5" w14:textId="5FF83165" w:rsidR="00B21B44" w:rsidRPr="001C711F" w:rsidRDefault="00B21B44" w:rsidP="00B21B44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Subventions</w:t>
      </w:r>
      <w:r>
        <w:rPr>
          <w:rFonts w:eastAsia="Times New Roman" w:cs="Times New Roman"/>
          <w:lang w:eastAsia="fr-FR"/>
        </w:rPr>
        <w:t xml:space="preserve"> CEE aux communes </w:t>
      </w:r>
      <w:r>
        <w:rPr>
          <w:rFonts w:eastAsia="Times New Roman" w:cs="Times New Roman"/>
          <w:lang w:eastAsia="fr-FR"/>
        </w:rPr>
        <w:tab/>
      </w:r>
      <w:r>
        <w:rPr>
          <w:rFonts w:eastAsia="Times New Roman" w:cs="Times New Roman"/>
          <w:lang w:eastAsia="fr-FR"/>
        </w:rPr>
        <w:tab/>
        <w:t xml:space="preserve">     600 000</w:t>
      </w:r>
      <w:r w:rsidRPr="001C711F">
        <w:rPr>
          <w:rFonts w:eastAsia="Times New Roman" w:cs="Times New Roman"/>
          <w:lang w:eastAsia="fr-FR"/>
        </w:rPr>
        <w:t>€</w:t>
      </w:r>
      <w:r w:rsidRPr="001C711F">
        <w:rPr>
          <w:rFonts w:eastAsia="Times New Roman" w:cs="Times New Roman"/>
          <w:lang w:eastAsia="fr-FR"/>
        </w:rPr>
        <w:tab/>
      </w:r>
    </w:p>
    <w:p w14:paraId="3716D63F" w14:textId="77777777" w:rsidR="00B21B44" w:rsidRPr="00185358" w:rsidRDefault="00B21B44" w:rsidP="00B21B44">
      <w:pPr>
        <w:spacing w:after="0" w:line="240" w:lineRule="auto"/>
        <w:ind w:left="720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ab/>
      </w:r>
      <w:r w:rsidRPr="001C711F">
        <w:rPr>
          <w:rFonts w:eastAsia="Times New Roman" w:cs="Times New Roman"/>
          <w:lang w:eastAsia="fr-FR"/>
        </w:rPr>
        <w:tab/>
      </w:r>
    </w:p>
    <w:p w14:paraId="0225EF2E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14:paraId="04556559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>Les recettes </w:t>
      </w:r>
      <w:r w:rsidRPr="001C711F">
        <w:rPr>
          <w:rFonts w:eastAsia="Times New Roman" w:cs="Times New Roman"/>
          <w:lang w:eastAsia="fr-FR"/>
        </w:rPr>
        <w:t xml:space="preserve">: </w:t>
      </w:r>
    </w:p>
    <w:p w14:paraId="5B1DAC33" w14:textId="054776C0" w:rsidR="00B21B44" w:rsidRPr="001C711F" w:rsidRDefault="00B21B44" w:rsidP="00B21B4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>
        <w:rPr>
          <w:rFonts w:eastAsia="Times New Roman" w:cs="Times New Roman"/>
          <w:lang w:eastAsia="fr-FR"/>
        </w:rPr>
        <w:t xml:space="preserve">La TVA reversée par le </w:t>
      </w:r>
      <w:r w:rsidRPr="001C711F">
        <w:rPr>
          <w:rFonts w:eastAsia="Times New Roman" w:cs="Times New Roman"/>
          <w:lang w:eastAsia="fr-FR"/>
        </w:rPr>
        <w:t>Concessionnaire</w:t>
      </w:r>
      <w:r>
        <w:rPr>
          <w:rFonts w:eastAsia="Times New Roman" w:cs="Times New Roman"/>
          <w:lang w:eastAsia="fr-FR"/>
        </w:rPr>
        <w:t xml:space="preserve"> (reliquat depuis le changement de régime de perception de TVA intervenu en 2023)</w:t>
      </w:r>
      <w:r w:rsidRPr="001C711F">
        <w:rPr>
          <w:rFonts w:eastAsia="Times New Roman" w:cs="Times New Roman"/>
          <w:lang w:eastAsia="fr-FR"/>
        </w:rPr>
        <w:t xml:space="preserve"> et les remboursements des communes pour les travaux réalisés pour leur compte et faisant l’objet d’un étalement pour</w:t>
      </w:r>
      <w:r>
        <w:rPr>
          <w:rFonts w:eastAsia="Times New Roman" w:cs="Times New Roman"/>
          <w:lang w:eastAsia="fr-FR"/>
        </w:rPr>
        <w:t xml:space="preserve"> 3</w:t>
      </w:r>
      <w:r w:rsidR="00941008">
        <w:rPr>
          <w:rFonts w:eastAsia="Times New Roman" w:cs="Times New Roman"/>
          <w:lang w:eastAsia="fr-FR"/>
        </w:rPr>
        <w:t> 315 685</w:t>
      </w:r>
      <w:r w:rsidRPr="001C711F">
        <w:rPr>
          <w:rFonts w:eastAsia="Times New Roman" w:cs="Times New Roman"/>
          <w:lang w:eastAsia="fr-FR"/>
        </w:rPr>
        <w:t>€ ;</w:t>
      </w:r>
    </w:p>
    <w:p w14:paraId="1C63F916" w14:textId="1DDAF459" w:rsidR="00B21B44" w:rsidRPr="001C711F" w:rsidRDefault="00B21B44" w:rsidP="00B21B4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Les participations pour</w:t>
      </w:r>
      <w:r>
        <w:rPr>
          <w:rFonts w:eastAsia="Times New Roman" w:cs="Times New Roman"/>
          <w:lang w:eastAsia="fr-FR"/>
        </w:rPr>
        <w:t xml:space="preserve"> 12</w:t>
      </w:r>
      <w:r w:rsidR="003A58AF">
        <w:rPr>
          <w:rFonts w:eastAsia="Times New Roman" w:cs="Times New Roman"/>
          <w:lang w:eastAsia="fr-FR"/>
        </w:rPr>
        <w:t> 940 155</w:t>
      </w:r>
      <w:r w:rsidRPr="001C711F">
        <w:rPr>
          <w:rFonts w:eastAsia="Times New Roman" w:cs="Times New Roman"/>
          <w:lang w:eastAsia="fr-FR"/>
        </w:rPr>
        <w:t xml:space="preserve">€ (FACE, </w:t>
      </w:r>
      <w:r>
        <w:rPr>
          <w:rFonts w:eastAsia="Times New Roman" w:cs="Times New Roman"/>
          <w:lang w:eastAsia="fr-FR"/>
        </w:rPr>
        <w:t>Télécommunications</w:t>
      </w:r>
      <w:r w:rsidRPr="001C711F">
        <w:rPr>
          <w:rFonts w:eastAsia="Times New Roman" w:cs="Times New Roman"/>
          <w:lang w:eastAsia="fr-FR"/>
        </w:rPr>
        <w:t xml:space="preserve"> et collectivités</w:t>
      </w:r>
      <w:r>
        <w:rPr>
          <w:rFonts w:eastAsia="Times New Roman" w:cs="Times New Roman"/>
          <w:lang w:eastAsia="fr-FR"/>
        </w:rPr>
        <w:t>)</w:t>
      </w:r>
      <w:r w:rsidRPr="001C711F">
        <w:rPr>
          <w:rFonts w:eastAsia="Times New Roman" w:cs="Times New Roman"/>
          <w:lang w:eastAsia="fr-FR"/>
        </w:rPr>
        <w:t xml:space="preserve"> </w:t>
      </w:r>
      <w:r>
        <w:rPr>
          <w:rFonts w:eastAsia="Times New Roman" w:cs="Times New Roman"/>
          <w:lang w:eastAsia="fr-FR"/>
        </w:rPr>
        <w:t>auxquelles s’ajoutent celles</w:t>
      </w:r>
      <w:r w:rsidRPr="001C711F">
        <w:rPr>
          <w:rFonts w:eastAsia="Times New Roman" w:cs="Times New Roman"/>
          <w:lang w:eastAsia="fr-FR"/>
        </w:rPr>
        <w:t xml:space="preserve"> au titre des MOT</w:t>
      </w:r>
      <w:r>
        <w:rPr>
          <w:rFonts w:eastAsia="Times New Roman" w:cs="Times New Roman"/>
          <w:lang w:eastAsia="fr-FR"/>
        </w:rPr>
        <w:t xml:space="preserve"> (</w:t>
      </w:r>
      <w:r w:rsidR="003A58AF">
        <w:rPr>
          <w:rFonts w:eastAsia="Times New Roman" w:cs="Times New Roman"/>
          <w:lang w:eastAsia="fr-FR"/>
        </w:rPr>
        <w:t>7 691 886</w:t>
      </w:r>
      <w:r>
        <w:rPr>
          <w:rFonts w:eastAsia="Times New Roman" w:cs="Times New Roman"/>
          <w:lang w:eastAsia="fr-FR"/>
        </w:rPr>
        <w:t>€</w:t>
      </w:r>
      <w:r w:rsidRPr="001C711F">
        <w:rPr>
          <w:rFonts w:eastAsia="Times New Roman" w:cs="Times New Roman"/>
          <w:lang w:eastAsia="fr-FR"/>
        </w:rPr>
        <w:t>) ;</w:t>
      </w:r>
    </w:p>
    <w:p w14:paraId="42578002" w14:textId="2404E099" w:rsidR="00B21B44" w:rsidRDefault="00B21B44" w:rsidP="00B21B44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 w:cs="Times New Roman"/>
          <w:lang w:eastAsia="fr-FR"/>
        </w:rPr>
      </w:pPr>
      <w:r w:rsidRPr="001C711F">
        <w:rPr>
          <w:rFonts w:eastAsia="Times New Roman" w:cs="Times New Roman"/>
          <w:lang w:eastAsia="fr-FR"/>
        </w:rPr>
        <w:t>L’excédent de fonctionnement capitalisé pour un montant de</w:t>
      </w:r>
      <w:r>
        <w:rPr>
          <w:rFonts w:eastAsia="Times New Roman" w:cs="Times New Roman"/>
          <w:lang w:eastAsia="fr-FR"/>
        </w:rPr>
        <w:t xml:space="preserve"> </w:t>
      </w:r>
      <w:r w:rsidR="00941008">
        <w:rPr>
          <w:rFonts w:eastAsia="Times New Roman" w:cs="Times New Roman"/>
          <w:lang w:eastAsia="fr-FR"/>
        </w:rPr>
        <w:t>1 298 507,87</w:t>
      </w:r>
      <w:r w:rsidRPr="001C711F">
        <w:rPr>
          <w:rFonts w:eastAsia="Times New Roman" w:cs="Times New Roman"/>
          <w:lang w:eastAsia="fr-FR"/>
        </w:rPr>
        <w:t>€</w:t>
      </w:r>
    </w:p>
    <w:p w14:paraId="31D69D5A" w14:textId="77777777" w:rsidR="00B21B44" w:rsidRPr="001C711F" w:rsidRDefault="00B21B44" w:rsidP="00B21B44">
      <w:pPr>
        <w:spacing w:after="0" w:line="240" w:lineRule="auto"/>
        <w:rPr>
          <w:rFonts w:eastAsia="Times New Roman" w:cs="Times New Roman"/>
          <w:lang w:eastAsia="fr-FR"/>
        </w:rPr>
      </w:pPr>
    </w:p>
    <w:p w14:paraId="115F4A42" w14:textId="15532C82" w:rsidR="00B21B44" w:rsidRPr="00B33959" w:rsidRDefault="00B21B44" w:rsidP="00B21B4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B33959">
        <w:rPr>
          <w:rFonts w:eastAsia="Times New Roman" w:cs="Times New Roman"/>
          <w:b/>
          <w:lang w:eastAsia="fr-FR"/>
        </w:rPr>
        <w:t xml:space="preserve">L’équilibre de la section d’investissement s’établit à </w:t>
      </w:r>
      <w:r w:rsidR="003A58AF">
        <w:rPr>
          <w:rFonts w:eastAsia="Times New Roman" w:cs="Times New Roman"/>
          <w:b/>
          <w:lang w:eastAsia="fr-FR"/>
        </w:rPr>
        <w:t>44 448 171,77</w:t>
      </w:r>
      <w:r w:rsidRPr="00B33959">
        <w:rPr>
          <w:rFonts w:eastAsia="Times New Roman" w:cs="Times New Roman"/>
          <w:b/>
          <w:lang w:eastAsia="fr-FR"/>
        </w:rPr>
        <w:t>€ avec les restes à réaliser, les opérations d’ordre et la dette constatée des communes à l’égard du Syndicat.</w:t>
      </w:r>
    </w:p>
    <w:p w14:paraId="15D279BE" w14:textId="77777777" w:rsidR="00B21B44" w:rsidRDefault="00B21B44" w:rsidP="00B21B44">
      <w:pPr>
        <w:spacing w:after="0" w:line="240" w:lineRule="auto"/>
        <w:rPr>
          <w:rFonts w:eastAsia="Times New Roman" w:cs="Times New Roman"/>
          <w:lang w:eastAsia="fr-FR"/>
        </w:rPr>
      </w:pPr>
    </w:p>
    <w:p w14:paraId="6192046A" w14:textId="26D4156F" w:rsidR="00B21B44" w:rsidRDefault="00B21B44" w:rsidP="00B21B44">
      <w:pPr>
        <w:jc w:val="both"/>
      </w:pPr>
      <w:r>
        <w:lastRenderedPageBreak/>
        <w:t>Le Comité Syndical,</w:t>
      </w:r>
    </w:p>
    <w:p w14:paraId="39C0307F" w14:textId="09177E58" w:rsidR="00B21B44" w:rsidRPr="00E11B44" w:rsidRDefault="00B21B44" w:rsidP="00B21B44">
      <w:pPr>
        <w:jc w:val="center"/>
        <w:rPr>
          <w:b/>
        </w:rPr>
      </w:pPr>
      <w:r>
        <w:rPr>
          <w:b/>
        </w:rPr>
        <w:t xml:space="preserve">Après en avoir délibéré, et à </w:t>
      </w:r>
      <w:r w:rsidR="0095739F">
        <w:rPr>
          <w:b/>
        </w:rPr>
        <w:t>l’unanimité</w:t>
      </w:r>
      <w:r w:rsidRPr="00E11B44">
        <w:rPr>
          <w:b/>
        </w:rPr>
        <w:t xml:space="preserve">, </w:t>
      </w:r>
    </w:p>
    <w:p w14:paraId="1D1157BF" w14:textId="77777777" w:rsidR="00B21B44" w:rsidRDefault="00B21B44" w:rsidP="00B21B44">
      <w:pPr>
        <w:spacing w:after="0" w:line="240" w:lineRule="auto"/>
        <w:rPr>
          <w:rFonts w:eastAsia="Times New Roman" w:cs="Times New Roman"/>
          <w:lang w:eastAsia="fr-FR"/>
        </w:rPr>
      </w:pPr>
    </w:p>
    <w:p w14:paraId="3D600B89" w14:textId="1357AC50" w:rsidR="00B21B44" w:rsidRDefault="00B21B44" w:rsidP="00B21B44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eastAsia="fr-FR"/>
        </w:rPr>
      </w:pPr>
      <w:r w:rsidRPr="001E55DB">
        <w:rPr>
          <w:rFonts w:eastAsia="Times New Roman" w:cs="Times New Roman"/>
          <w:b/>
          <w:lang w:eastAsia="fr-FR"/>
        </w:rPr>
        <w:t xml:space="preserve">DECIDE </w:t>
      </w:r>
      <w:r w:rsidRPr="001C711F">
        <w:rPr>
          <w:rFonts w:eastAsia="Times New Roman" w:cs="Times New Roman"/>
          <w:b/>
          <w:lang w:eastAsia="fr-FR"/>
        </w:rPr>
        <w:t>le budget primitif 20</w:t>
      </w:r>
      <w:r>
        <w:rPr>
          <w:rFonts w:eastAsia="Times New Roman" w:cs="Times New Roman"/>
          <w:b/>
          <w:lang w:eastAsia="fr-FR"/>
        </w:rPr>
        <w:t>2</w:t>
      </w:r>
      <w:r w:rsidR="00941008">
        <w:rPr>
          <w:rFonts w:eastAsia="Times New Roman" w:cs="Times New Roman"/>
          <w:b/>
          <w:lang w:eastAsia="fr-FR"/>
        </w:rPr>
        <w:t>5</w:t>
      </w:r>
      <w:r w:rsidRPr="001C711F">
        <w:rPr>
          <w:rFonts w:eastAsia="Times New Roman" w:cs="Times New Roman"/>
          <w:b/>
          <w:lang w:eastAsia="fr-FR"/>
        </w:rPr>
        <w:t xml:space="preserve"> tel que présenté ;</w:t>
      </w:r>
    </w:p>
    <w:p w14:paraId="693EF5A0" w14:textId="7F9DA617" w:rsidR="00B21B44" w:rsidRPr="00941008" w:rsidRDefault="00B21B44" w:rsidP="00B21B44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="Times New Roman"/>
          <w:b/>
          <w:lang w:eastAsia="fr-FR"/>
        </w:rPr>
      </w:pPr>
      <w:r>
        <w:rPr>
          <w:rFonts w:eastAsia="Times New Roman" w:cs="Times New Roman"/>
          <w:b/>
          <w:lang w:eastAsia="fr-FR"/>
        </w:rPr>
        <w:t xml:space="preserve">DECIDE de donner </w:t>
      </w:r>
    </w:p>
    <w:p w14:paraId="2F61EFF1" w14:textId="77777777" w:rsidR="00B21B44" w:rsidRDefault="00B21B44" w:rsidP="00B21B44">
      <w:pPr>
        <w:spacing w:after="0" w:line="240" w:lineRule="auto"/>
        <w:rPr>
          <w:rFonts w:eastAsia="Times New Roman" w:cs="Times New Roman"/>
          <w:lang w:eastAsia="fr-FR"/>
        </w:rPr>
      </w:pPr>
    </w:p>
    <w:p w14:paraId="5B3EAAD8" w14:textId="77777777" w:rsidR="00B21B44" w:rsidRPr="001C711F" w:rsidRDefault="00B21B44" w:rsidP="00B21B44">
      <w:pPr>
        <w:spacing w:after="0" w:line="240" w:lineRule="auto"/>
        <w:rPr>
          <w:rFonts w:eastAsia="Times New Roman" w:cs="Times New Roman"/>
          <w:lang w:eastAsia="fr-FR"/>
        </w:rPr>
      </w:pPr>
    </w:p>
    <w:p w14:paraId="0E2D0673" w14:textId="77777777" w:rsidR="00B21B44" w:rsidRPr="001C711F" w:rsidRDefault="00B21B44" w:rsidP="00B21B44">
      <w:pPr>
        <w:spacing w:after="0" w:line="240" w:lineRule="auto"/>
        <w:rPr>
          <w:rFonts w:eastAsia="Times New Roman" w:cs="Times New Roman"/>
          <w:b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>Le</w:t>
      </w:r>
      <w:r>
        <w:rPr>
          <w:rFonts w:eastAsia="Times New Roman" w:cs="Times New Roman"/>
          <w:b/>
          <w:lang w:eastAsia="fr-FR"/>
        </w:rPr>
        <w:t xml:space="preserve"> Vice-P</w:t>
      </w:r>
      <w:r w:rsidRPr="001C711F">
        <w:rPr>
          <w:rFonts w:eastAsia="Times New Roman" w:cs="Times New Roman"/>
          <w:b/>
          <w:lang w:eastAsia="fr-FR"/>
        </w:rPr>
        <w:t xml:space="preserve">résident propose aux membres du Comité syndical de : </w:t>
      </w:r>
    </w:p>
    <w:p w14:paraId="705D256B" w14:textId="4F99B413" w:rsidR="00B21B44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>- de voter le budget primitif 20</w:t>
      </w:r>
      <w:r>
        <w:rPr>
          <w:rFonts w:eastAsia="Times New Roman" w:cs="Times New Roman"/>
          <w:b/>
          <w:lang w:eastAsia="fr-FR"/>
        </w:rPr>
        <w:t>2</w:t>
      </w:r>
      <w:r w:rsidR="00941008">
        <w:rPr>
          <w:rFonts w:eastAsia="Times New Roman" w:cs="Times New Roman"/>
          <w:b/>
          <w:lang w:eastAsia="fr-FR"/>
        </w:rPr>
        <w:t>5</w:t>
      </w:r>
      <w:r w:rsidRPr="001C711F">
        <w:rPr>
          <w:rFonts w:eastAsia="Times New Roman" w:cs="Times New Roman"/>
          <w:b/>
          <w:lang w:eastAsia="fr-FR"/>
        </w:rPr>
        <w:t xml:space="preserve"> tel que présenté ; </w:t>
      </w:r>
    </w:p>
    <w:p w14:paraId="40716A30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>- de donner délégation au Bureau pour la gestion des investissements dans la limite du budget annuel alloué aux opérations, y compris de modifier la répartition entre opérations ;</w:t>
      </w:r>
    </w:p>
    <w:p w14:paraId="5A039811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 xml:space="preserve">- de donner délégation au Bureau pour définir les différents modes de passation des marchés publics de l’exercice ; </w:t>
      </w:r>
    </w:p>
    <w:p w14:paraId="56ED9BD7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1C711F">
        <w:rPr>
          <w:b/>
        </w:rPr>
        <w:t>- de donner délégation au Bureau pour ouvrir une nouvelle ligne de trésorerie.</w:t>
      </w:r>
    </w:p>
    <w:p w14:paraId="748074DF" w14:textId="77777777" w:rsidR="00B21B44" w:rsidRPr="001C711F" w:rsidRDefault="00B21B44" w:rsidP="00B21B44">
      <w:pPr>
        <w:spacing w:after="0" w:line="240" w:lineRule="auto"/>
        <w:jc w:val="both"/>
        <w:rPr>
          <w:rFonts w:eastAsia="Times New Roman" w:cs="Times New Roman"/>
          <w:b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>- de donner délégation au Bureau pour solliciter tous les financeurs dans le cadre de la programmation des opérations d’électrification et d’efficacité énergétique (FACE, Département, ADEME, Région, EDF, Etat, Europe, etc…)</w:t>
      </w:r>
    </w:p>
    <w:p w14:paraId="7F10932F" w14:textId="0DD2F09E" w:rsidR="00B21B44" w:rsidRDefault="00B21B44" w:rsidP="00B21B44">
      <w:pPr>
        <w:spacing w:before="120" w:after="120" w:line="240" w:lineRule="auto"/>
        <w:jc w:val="both"/>
        <w:rPr>
          <w:rFonts w:eastAsia="Times New Roman" w:cs="Times New Roman"/>
          <w:b/>
          <w:lang w:eastAsia="fr-FR"/>
        </w:rPr>
      </w:pPr>
      <w:r w:rsidRPr="001C711F">
        <w:rPr>
          <w:rFonts w:eastAsia="Times New Roman" w:cs="Times New Roman"/>
          <w:b/>
          <w:lang w:eastAsia="fr-FR"/>
        </w:rPr>
        <w:t xml:space="preserve">Ouï cet exposé et après en avoir pris connaissance, les membres de l’Assemblée décident </w:t>
      </w:r>
      <w:r>
        <w:rPr>
          <w:rFonts w:eastAsia="Times New Roman" w:cs="Times New Roman"/>
          <w:b/>
          <w:lang w:eastAsia="fr-FR"/>
        </w:rPr>
        <w:t xml:space="preserve">à </w:t>
      </w:r>
      <w:r w:rsidR="00903E8E">
        <w:rPr>
          <w:rFonts w:eastAsia="Times New Roman" w:cs="Times New Roman"/>
          <w:b/>
          <w:lang w:eastAsia="fr-FR"/>
        </w:rPr>
        <w:t>l’unanimité</w:t>
      </w:r>
      <w:r>
        <w:rPr>
          <w:rFonts w:eastAsia="Times New Roman" w:cs="Times New Roman"/>
          <w:b/>
          <w:lang w:eastAsia="fr-FR"/>
        </w:rPr>
        <w:t>, d’adopter cette délibération.</w:t>
      </w:r>
    </w:p>
    <w:p w14:paraId="39EB5BCC" w14:textId="77777777" w:rsidR="00B21B44" w:rsidRDefault="00B21B44" w:rsidP="00B21B44">
      <w:pPr>
        <w:spacing w:before="120" w:after="120" w:line="240" w:lineRule="auto"/>
        <w:jc w:val="both"/>
        <w:rPr>
          <w:rFonts w:eastAsia="Times New Roman" w:cs="Times New Roman"/>
          <w:b/>
          <w:lang w:eastAsia="fr-FR"/>
        </w:rPr>
      </w:pPr>
    </w:p>
    <w:p w14:paraId="152D8657" w14:textId="77777777" w:rsidR="00B21B44" w:rsidRDefault="00B21B44" w:rsidP="00B21B44">
      <w:pPr>
        <w:spacing w:before="120" w:after="120" w:line="240" w:lineRule="auto"/>
        <w:jc w:val="both"/>
        <w:rPr>
          <w:rFonts w:eastAsia="Times New Roman" w:cs="Times New Roman"/>
          <w:b/>
          <w:lang w:eastAsia="fr-FR"/>
        </w:rPr>
      </w:pPr>
    </w:p>
    <w:p w14:paraId="0E877A4C" w14:textId="77777777" w:rsidR="00B21B44" w:rsidRPr="001E34F2" w:rsidRDefault="00B21B44" w:rsidP="00B21B44">
      <w:pPr>
        <w:spacing w:before="120" w:after="0" w:line="240" w:lineRule="auto"/>
        <w:ind w:left="5670" w:right="98"/>
        <w:rPr>
          <w:bCs/>
        </w:rPr>
      </w:pPr>
      <w:r w:rsidRPr="001E34F2">
        <w:rPr>
          <w:bCs/>
        </w:rPr>
        <w:t xml:space="preserve">Le Président    </w:t>
      </w:r>
      <w:r w:rsidRPr="001E34F2">
        <w:rPr>
          <w:bCs/>
        </w:rPr>
        <w:tab/>
      </w:r>
      <w:r w:rsidRPr="001E34F2">
        <w:rPr>
          <w:bCs/>
        </w:rPr>
        <w:tab/>
      </w:r>
      <w:r w:rsidRPr="001E34F2">
        <w:rPr>
          <w:bCs/>
        </w:rPr>
        <w:tab/>
      </w:r>
    </w:p>
    <w:p w14:paraId="7E6B5C0B" w14:textId="77777777" w:rsidR="00B21B44" w:rsidRPr="001E34F2" w:rsidRDefault="00B21B44" w:rsidP="00B21B44">
      <w:pPr>
        <w:spacing w:after="0" w:line="240" w:lineRule="auto"/>
        <w:ind w:left="5670"/>
        <w:jc w:val="both"/>
        <w:rPr>
          <w:bCs/>
        </w:rPr>
      </w:pPr>
      <w:r>
        <w:rPr>
          <w:bCs/>
        </w:rPr>
        <w:t>Patrick COUDENE</w:t>
      </w:r>
    </w:p>
    <w:p w14:paraId="77B7192A" w14:textId="77777777" w:rsidR="00B21B44" w:rsidRDefault="00B21B44" w:rsidP="00B21B44">
      <w:pPr>
        <w:spacing w:after="0" w:line="240" w:lineRule="auto"/>
        <w:ind w:left="5670"/>
        <w:jc w:val="both"/>
        <w:rPr>
          <w:bCs/>
        </w:rPr>
      </w:pPr>
      <w:r>
        <w:rPr>
          <w:bCs/>
          <w:noProof/>
          <w:lang w:eastAsia="fr-FR"/>
        </w:rPr>
        <w:drawing>
          <wp:inline distT="0" distB="0" distL="0" distR="0" wp14:anchorId="7126E4F5" wp14:editId="7C2A7D57">
            <wp:extent cx="839883" cy="830317"/>
            <wp:effectExtent l="0" t="0" r="0" b="825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AU SDE 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920" cy="832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D542C" w14:textId="77777777" w:rsidR="00B21B44" w:rsidRDefault="00B21B44" w:rsidP="00B21B44">
      <w:pPr>
        <w:spacing w:after="0" w:line="240" w:lineRule="auto"/>
        <w:ind w:left="5670"/>
        <w:jc w:val="both"/>
        <w:rPr>
          <w:bCs/>
        </w:rPr>
      </w:pPr>
    </w:p>
    <w:p w14:paraId="1FA2F5D3" w14:textId="449BF50C" w:rsidR="00B21B44" w:rsidRDefault="00B21B44" w:rsidP="00B21B44">
      <w:pPr>
        <w:spacing w:after="0" w:line="240" w:lineRule="auto"/>
        <w:jc w:val="both"/>
        <w:rPr>
          <w:bCs/>
        </w:rPr>
      </w:pPr>
    </w:p>
    <w:p w14:paraId="2E14AD32" w14:textId="6A4516DA" w:rsidR="00F8308A" w:rsidRDefault="00F8308A" w:rsidP="00B21B44">
      <w:pPr>
        <w:spacing w:after="0" w:line="240" w:lineRule="auto"/>
        <w:jc w:val="both"/>
        <w:rPr>
          <w:bCs/>
        </w:rPr>
      </w:pPr>
    </w:p>
    <w:p w14:paraId="778A922B" w14:textId="1A1667D2" w:rsidR="00F8308A" w:rsidRDefault="00F8308A" w:rsidP="00B21B44">
      <w:pPr>
        <w:spacing w:after="0" w:line="240" w:lineRule="auto"/>
        <w:jc w:val="both"/>
        <w:rPr>
          <w:bCs/>
        </w:rPr>
      </w:pPr>
    </w:p>
    <w:p w14:paraId="6899A1DA" w14:textId="68E31BBC" w:rsidR="00F8308A" w:rsidRDefault="00F8308A" w:rsidP="00B21B44">
      <w:pPr>
        <w:spacing w:after="0" w:line="240" w:lineRule="auto"/>
        <w:jc w:val="both"/>
        <w:rPr>
          <w:bCs/>
        </w:rPr>
      </w:pPr>
    </w:p>
    <w:p w14:paraId="6BABD895" w14:textId="3AA0AB70" w:rsidR="00F8308A" w:rsidRDefault="00F8308A" w:rsidP="00B21B44">
      <w:pPr>
        <w:spacing w:after="0" w:line="240" w:lineRule="auto"/>
        <w:jc w:val="both"/>
        <w:rPr>
          <w:bCs/>
        </w:rPr>
      </w:pPr>
    </w:p>
    <w:p w14:paraId="40DDC353" w14:textId="169B269D" w:rsidR="00F8308A" w:rsidRDefault="00F8308A" w:rsidP="00B21B44">
      <w:pPr>
        <w:spacing w:after="0" w:line="240" w:lineRule="auto"/>
        <w:jc w:val="both"/>
        <w:rPr>
          <w:bCs/>
        </w:rPr>
      </w:pPr>
    </w:p>
    <w:p w14:paraId="5925183F" w14:textId="7F20001A" w:rsidR="00F8308A" w:rsidRDefault="00F8308A" w:rsidP="00B21B44">
      <w:pPr>
        <w:spacing w:after="0" w:line="240" w:lineRule="auto"/>
        <w:jc w:val="both"/>
        <w:rPr>
          <w:bCs/>
        </w:rPr>
      </w:pPr>
    </w:p>
    <w:p w14:paraId="09B0CFC6" w14:textId="5F1F88D0" w:rsidR="00F8308A" w:rsidRDefault="00F8308A" w:rsidP="00B21B44">
      <w:pPr>
        <w:spacing w:after="0" w:line="240" w:lineRule="auto"/>
        <w:jc w:val="both"/>
        <w:rPr>
          <w:bCs/>
        </w:rPr>
      </w:pPr>
    </w:p>
    <w:p w14:paraId="57D08201" w14:textId="75185686" w:rsidR="00F8308A" w:rsidRDefault="00F8308A" w:rsidP="00B21B44">
      <w:pPr>
        <w:spacing w:after="0" w:line="240" w:lineRule="auto"/>
        <w:jc w:val="both"/>
        <w:rPr>
          <w:bCs/>
        </w:rPr>
      </w:pPr>
    </w:p>
    <w:p w14:paraId="41BC3DAD" w14:textId="6D96FE5F" w:rsidR="00F8308A" w:rsidRDefault="00F8308A" w:rsidP="00B21B44">
      <w:pPr>
        <w:spacing w:after="0" w:line="240" w:lineRule="auto"/>
        <w:jc w:val="both"/>
        <w:rPr>
          <w:bCs/>
        </w:rPr>
      </w:pPr>
    </w:p>
    <w:p w14:paraId="54A96B43" w14:textId="77777777" w:rsidR="00F8308A" w:rsidRDefault="00F8308A" w:rsidP="00B21B44">
      <w:pPr>
        <w:spacing w:after="0" w:line="240" w:lineRule="auto"/>
        <w:jc w:val="both"/>
        <w:rPr>
          <w:bCs/>
        </w:rPr>
      </w:pPr>
    </w:p>
    <w:p w14:paraId="49BD7153" w14:textId="77777777" w:rsidR="00B21B44" w:rsidRDefault="00B21B44" w:rsidP="00B21B44">
      <w:pPr>
        <w:spacing w:after="0" w:line="240" w:lineRule="auto"/>
        <w:ind w:left="5670"/>
        <w:jc w:val="both"/>
        <w:rPr>
          <w:bCs/>
        </w:rPr>
      </w:pPr>
    </w:p>
    <w:p w14:paraId="5EFDAB28" w14:textId="77777777" w:rsidR="00F8308A" w:rsidRDefault="00F8308A" w:rsidP="00F8308A">
      <w:pPr>
        <w:jc w:val="both"/>
      </w:pPr>
      <w:r w:rsidRPr="007212D3">
        <w:rPr>
          <w:sz w:val="18"/>
          <w:szCs w:val="18"/>
        </w:rPr>
        <w:t>Le Président certifie sous sa responsabilité le caractère exécutoire de cet acte et informe que celui-ci peut faire l’objet d’un recours pour excès de pouvoir devant le Tribunal Administratif de Lyon dans un délai de 2 mois à compter de sa transmission en Préfecture le ………………………………………….et de sa</w:t>
      </w:r>
      <w:r>
        <w:rPr>
          <w:sz w:val="18"/>
          <w:szCs w:val="18"/>
        </w:rPr>
        <w:t xml:space="preserve"> </w:t>
      </w:r>
      <w:r w:rsidRPr="00E17315">
        <w:rPr>
          <w:rFonts w:ascii="Calibri" w:hAnsi="Calibri"/>
          <w:sz w:val="18"/>
          <w:szCs w:val="18"/>
        </w:rPr>
        <w:t>publication ou notification</w:t>
      </w:r>
      <w:r>
        <w:rPr>
          <w:rFonts w:ascii="Calibri" w:hAnsi="Calibri"/>
          <w:sz w:val="18"/>
          <w:szCs w:val="18"/>
        </w:rPr>
        <w:t>.</w:t>
      </w:r>
    </w:p>
    <w:sectPr w:rsidR="00F8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303"/>
    <w:multiLevelType w:val="hybridMultilevel"/>
    <w:tmpl w:val="36C6996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24476"/>
    <w:multiLevelType w:val="hybridMultilevel"/>
    <w:tmpl w:val="2F6CD0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F2DFB"/>
    <w:multiLevelType w:val="hybridMultilevel"/>
    <w:tmpl w:val="57303F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B1BFA"/>
    <w:multiLevelType w:val="hybridMultilevel"/>
    <w:tmpl w:val="C5F8452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44"/>
    <w:rsid w:val="000B77F0"/>
    <w:rsid w:val="000E09E4"/>
    <w:rsid w:val="0032596D"/>
    <w:rsid w:val="00390AC7"/>
    <w:rsid w:val="003A58AF"/>
    <w:rsid w:val="0047558E"/>
    <w:rsid w:val="006E4A51"/>
    <w:rsid w:val="00890722"/>
    <w:rsid w:val="00903E8E"/>
    <w:rsid w:val="00941008"/>
    <w:rsid w:val="0095739F"/>
    <w:rsid w:val="00965856"/>
    <w:rsid w:val="00A73B28"/>
    <w:rsid w:val="00B21B44"/>
    <w:rsid w:val="00B73066"/>
    <w:rsid w:val="00C73B9C"/>
    <w:rsid w:val="00CB0870"/>
    <w:rsid w:val="00F8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B402"/>
  <w15:chartTrackingRefBased/>
  <w15:docId w15:val="{35B69A97-F770-4C6D-BC2E-6D8DE7DF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B4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2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808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LALANDE Sandrine</dc:creator>
  <cp:keywords/>
  <dc:description/>
  <cp:lastModifiedBy>LESCOT Lydia</cp:lastModifiedBy>
  <cp:revision>11</cp:revision>
  <cp:lastPrinted>2025-03-12T16:30:00Z</cp:lastPrinted>
  <dcterms:created xsi:type="dcterms:W3CDTF">2025-02-14T06:16:00Z</dcterms:created>
  <dcterms:modified xsi:type="dcterms:W3CDTF">2025-03-12T16:31:00Z</dcterms:modified>
</cp:coreProperties>
</file>